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8A" w:rsidRDefault="00C8718A" w:rsidP="00C8718A">
      <w:pPr>
        <w:tabs>
          <w:tab w:val="center" w:pos="2253"/>
        </w:tabs>
        <w:spacing w:before="120" w:after="120"/>
        <w:jc w:val="center"/>
        <w:rPr>
          <w:rFonts w:ascii="Verdana" w:hAnsi="Verdana"/>
          <w:b/>
          <w:color w:val="008080"/>
          <w:sz w:val="28"/>
          <w:szCs w:val="28"/>
        </w:rPr>
      </w:pPr>
      <w:r>
        <w:rPr>
          <w:rFonts w:ascii="Verdana" w:hAnsi="Verdana"/>
          <w:b/>
          <w:color w:val="008080"/>
          <w:sz w:val="28"/>
          <w:szCs w:val="28"/>
        </w:rPr>
        <w:t>P</w:t>
      </w:r>
      <w:r w:rsidRPr="008B223F">
        <w:rPr>
          <w:rFonts w:ascii="Verdana" w:hAnsi="Verdana"/>
          <w:b/>
          <w:color w:val="008080"/>
          <w:sz w:val="28"/>
          <w:szCs w:val="28"/>
        </w:rPr>
        <w:t>rogramme</w:t>
      </w:r>
    </w:p>
    <w:p w:rsidR="00C8718A" w:rsidRPr="008B223F" w:rsidRDefault="00327690" w:rsidP="00C8718A">
      <w:pPr>
        <w:tabs>
          <w:tab w:val="center" w:pos="2253"/>
        </w:tabs>
        <w:spacing w:before="120" w:after="120"/>
        <w:jc w:val="center"/>
        <w:rPr>
          <w:rFonts w:ascii="Verdana" w:hAnsi="Verdana"/>
          <w:b/>
          <w:color w:val="008080"/>
          <w:sz w:val="28"/>
          <w:szCs w:val="28"/>
        </w:rPr>
      </w:pPr>
      <w:r>
        <w:rPr>
          <w:rFonts w:ascii="Verdana" w:hAnsi="Verdana"/>
          <w:b/>
          <w:color w:val="008080"/>
          <w:sz w:val="28"/>
          <w:szCs w:val="28"/>
        </w:rPr>
        <w:t xml:space="preserve">Cross-Sector seminar on </w:t>
      </w:r>
      <w:r w:rsidR="000D3843">
        <w:rPr>
          <w:rFonts w:ascii="Verdana" w:hAnsi="Verdana"/>
          <w:b/>
          <w:color w:val="008080"/>
          <w:sz w:val="28"/>
          <w:szCs w:val="28"/>
        </w:rPr>
        <w:t>XBRL</w:t>
      </w:r>
      <w:r w:rsidR="00C8718A">
        <w:rPr>
          <w:rFonts w:ascii="Verdana" w:hAnsi="Verdana"/>
          <w:b/>
          <w:color w:val="008080"/>
          <w:sz w:val="28"/>
          <w:szCs w:val="28"/>
        </w:rPr>
        <w:t xml:space="preserve">, </w:t>
      </w:r>
      <w:r w:rsidR="000D3843">
        <w:rPr>
          <w:rFonts w:ascii="Verdana" w:hAnsi="Verdana"/>
          <w:b/>
          <w:color w:val="008080"/>
          <w:sz w:val="28"/>
          <w:szCs w:val="28"/>
        </w:rPr>
        <w:t>29</w:t>
      </w:r>
      <w:r w:rsidR="00C8718A">
        <w:rPr>
          <w:rFonts w:ascii="Verdana" w:hAnsi="Verdana"/>
          <w:b/>
          <w:color w:val="008080"/>
          <w:sz w:val="28"/>
          <w:szCs w:val="28"/>
        </w:rPr>
        <w:t>-</w:t>
      </w:r>
      <w:r w:rsidR="000D3843">
        <w:rPr>
          <w:rFonts w:ascii="Verdana" w:hAnsi="Verdana"/>
          <w:b/>
          <w:color w:val="008080"/>
          <w:sz w:val="28"/>
          <w:szCs w:val="28"/>
        </w:rPr>
        <w:t>30</w:t>
      </w:r>
      <w:r w:rsidR="00C8718A">
        <w:rPr>
          <w:rFonts w:ascii="Verdana" w:hAnsi="Verdana"/>
          <w:b/>
          <w:color w:val="008080"/>
          <w:sz w:val="28"/>
          <w:szCs w:val="28"/>
        </w:rPr>
        <w:t xml:space="preserve"> Ma</w:t>
      </w:r>
      <w:r w:rsidR="000D3843">
        <w:rPr>
          <w:rFonts w:ascii="Verdana" w:hAnsi="Verdana"/>
          <w:b/>
          <w:color w:val="008080"/>
          <w:sz w:val="28"/>
          <w:szCs w:val="28"/>
        </w:rPr>
        <w:t>y</w:t>
      </w:r>
      <w:r w:rsidR="00C8718A">
        <w:rPr>
          <w:rFonts w:ascii="Verdana" w:hAnsi="Verdana"/>
          <w:b/>
          <w:color w:val="008080"/>
          <w:sz w:val="28"/>
          <w:szCs w:val="28"/>
        </w:rPr>
        <w:t xml:space="preserve"> 2012, </w:t>
      </w:r>
      <w:r w:rsidR="000D3843">
        <w:rPr>
          <w:rFonts w:ascii="Verdana" w:hAnsi="Verdana"/>
          <w:b/>
          <w:color w:val="008080"/>
          <w:sz w:val="28"/>
          <w:szCs w:val="28"/>
        </w:rPr>
        <w:t>Madrid</w:t>
      </w:r>
    </w:p>
    <w:p w:rsidR="00C8718A" w:rsidRDefault="00C8718A" w:rsidP="00C8718A">
      <w:pPr>
        <w:jc w:val="both"/>
        <w:rPr>
          <w:rFonts w:ascii="Verdana" w:hAnsi="Verdana"/>
          <w:b/>
          <w:bCs/>
          <w:i/>
          <w:iCs/>
        </w:rPr>
      </w:pPr>
    </w:p>
    <w:p w:rsidR="00C8718A" w:rsidRPr="008070EF" w:rsidRDefault="00C8718A" w:rsidP="00C8718A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8070EF">
        <w:rPr>
          <w:rFonts w:ascii="Verdana" w:hAnsi="Verdana"/>
          <w:b/>
          <w:bCs/>
          <w:i/>
          <w:iCs/>
          <w:sz w:val="20"/>
          <w:szCs w:val="20"/>
        </w:rPr>
        <w:t>Description</w:t>
      </w:r>
    </w:p>
    <w:p w:rsidR="00C8718A" w:rsidRPr="008070EF" w:rsidRDefault="00C8718A" w:rsidP="00C8718A">
      <w:pPr>
        <w:jc w:val="both"/>
        <w:rPr>
          <w:rFonts w:ascii="Verdana" w:hAnsi="Verdana"/>
          <w:sz w:val="20"/>
          <w:szCs w:val="20"/>
        </w:rPr>
      </w:pPr>
    </w:p>
    <w:p w:rsidR="005F39C7" w:rsidRDefault="00C8718A" w:rsidP="00C8718A">
      <w:pPr>
        <w:jc w:val="both"/>
        <w:rPr>
          <w:rFonts w:ascii="Verdana" w:hAnsi="Verdana"/>
          <w:sz w:val="20"/>
          <w:szCs w:val="20"/>
        </w:rPr>
      </w:pPr>
      <w:r w:rsidRPr="008070EF">
        <w:rPr>
          <w:rFonts w:ascii="Verdana" w:hAnsi="Verdana"/>
          <w:sz w:val="20"/>
          <w:szCs w:val="20"/>
        </w:rPr>
        <w:t xml:space="preserve">This two days programme will provide the latest update on key issues regarding </w:t>
      </w:r>
      <w:r w:rsidR="00A85FF5">
        <w:rPr>
          <w:rFonts w:ascii="Verdana" w:hAnsi="Verdana"/>
          <w:sz w:val="20"/>
          <w:szCs w:val="20"/>
        </w:rPr>
        <w:t>XBRL</w:t>
      </w:r>
      <w:r w:rsidR="00D86D37">
        <w:rPr>
          <w:rFonts w:ascii="Verdana" w:hAnsi="Verdana"/>
          <w:sz w:val="20"/>
          <w:szCs w:val="20"/>
        </w:rPr>
        <w:t xml:space="preserve"> and EBA’s approach to XBRL.  On day one of the seminar, sessions will include</w:t>
      </w:r>
      <w:r w:rsidR="00710BF0">
        <w:rPr>
          <w:rFonts w:ascii="Verdana" w:hAnsi="Verdana"/>
          <w:sz w:val="20"/>
          <w:szCs w:val="20"/>
        </w:rPr>
        <w:t xml:space="preserve"> lectures in a workshop style that will explain the basics and key aspects of XBRL.</w:t>
      </w:r>
      <w:r w:rsidR="00D86D37">
        <w:rPr>
          <w:rFonts w:ascii="Verdana" w:hAnsi="Verdana"/>
          <w:sz w:val="20"/>
          <w:szCs w:val="20"/>
        </w:rPr>
        <w:t xml:space="preserve"> </w:t>
      </w:r>
      <w:r w:rsidRPr="008070EF">
        <w:rPr>
          <w:rFonts w:ascii="Verdana" w:hAnsi="Verdana"/>
          <w:sz w:val="20"/>
          <w:szCs w:val="20"/>
        </w:rPr>
        <w:t xml:space="preserve"> </w:t>
      </w:r>
    </w:p>
    <w:p w:rsidR="005F39C7" w:rsidRDefault="005F39C7" w:rsidP="00C8718A">
      <w:pPr>
        <w:jc w:val="both"/>
        <w:rPr>
          <w:rFonts w:ascii="Verdana" w:hAnsi="Verdana"/>
          <w:sz w:val="20"/>
          <w:szCs w:val="20"/>
        </w:rPr>
      </w:pPr>
    </w:p>
    <w:p w:rsidR="00710BF0" w:rsidRDefault="00241E01" w:rsidP="00C8718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day two, the seminar will be more on the EBA’s approach towards XBRL and the perspectives from jurisdictions who have applied</w:t>
      </w:r>
      <w:r w:rsidR="009A030B">
        <w:rPr>
          <w:rFonts w:ascii="Verdana" w:hAnsi="Verdana"/>
          <w:sz w:val="20"/>
          <w:szCs w:val="20"/>
        </w:rPr>
        <w:t xml:space="preserve"> or will apply</w:t>
      </w:r>
      <w:r>
        <w:rPr>
          <w:rFonts w:ascii="Verdana" w:hAnsi="Verdana"/>
          <w:sz w:val="20"/>
          <w:szCs w:val="20"/>
        </w:rPr>
        <w:t xml:space="preserve"> XBRL</w:t>
      </w:r>
      <w:r w:rsidR="009A030B">
        <w:rPr>
          <w:rFonts w:ascii="Verdana" w:hAnsi="Verdana"/>
          <w:sz w:val="20"/>
          <w:szCs w:val="20"/>
        </w:rPr>
        <w:t xml:space="preserve"> soon</w:t>
      </w:r>
      <w:r>
        <w:rPr>
          <w:rFonts w:ascii="Verdana" w:hAnsi="Verdana"/>
          <w:sz w:val="20"/>
          <w:szCs w:val="20"/>
        </w:rPr>
        <w:t xml:space="preserve"> and lessons learnt</w:t>
      </w:r>
      <w:r w:rsidR="005F39C7">
        <w:rPr>
          <w:rFonts w:ascii="Verdana" w:hAnsi="Verdana"/>
          <w:sz w:val="20"/>
          <w:szCs w:val="20"/>
        </w:rPr>
        <w:t xml:space="preserve"> so far</w:t>
      </w:r>
      <w:r>
        <w:rPr>
          <w:rFonts w:ascii="Verdana" w:hAnsi="Verdana"/>
          <w:sz w:val="20"/>
          <w:szCs w:val="20"/>
        </w:rPr>
        <w:t>.</w:t>
      </w:r>
      <w:r w:rsidR="00FC4642">
        <w:rPr>
          <w:rFonts w:ascii="Verdana" w:hAnsi="Verdana"/>
          <w:sz w:val="20"/>
          <w:szCs w:val="20"/>
        </w:rPr>
        <w:t xml:space="preserve"> One of the session</w:t>
      </w:r>
      <w:r w:rsidR="005F39C7">
        <w:rPr>
          <w:rFonts w:ascii="Verdana" w:hAnsi="Verdana"/>
          <w:sz w:val="20"/>
          <w:szCs w:val="20"/>
        </w:rPr>
        <w:t>s</w:t>
      </w:r>
      <w:r w:rsidR="00FC4642">
        <w:rPr>
          <w:rFonts w:ascii="Verdana" w:hAnsi="Verdana"/>
          <w:sz w:val="20"/>
          <w:szCs w:val="20"/>
        </w:rPr>
        <w:t xml:space="preserve"> will also cover the future of XBRL in Europe.</w:t>
      </w:r>
    </w:p>
    <w:p w:rsidR="00710BF0" w:rsidRDefault="00710BF0" w:rsidP="00C8718A">
      <w:pPr>
        <w:jc w:val="both"/>
        <w:rPr>
          <w:rFonts w:ascii="Verdana" w:hAnsi="Verdana"/>
          <w:sz w:val="20"/>
          <w:szCs w:val="20"/>
        </w:rPr>
      </w:pPr>
    </w:p>
    <w:p w:rsidR="00C8718A" w:rsidRDefault="00C8718A" w:rsidP="00C8718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key objective</w:t>
      </w:r>
      <w:r w:rsidR="00241E0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of this Joint Committee seminar </w:t>
      </w:r>
      <w:r w:rsidR="00710BF0">
        <w:rPr>
          <w:rFonts w:ascii="Verdana" w:hAnsi="Verdana"/>
          <w:sz w:val="20"/>
          <w:szCs w:val="20"/>
        </w:rPr>
        <w:t xml:space="preserve">will allow participants to learn about the implications of XBRL and resources needed to start the project. </w:t>
      </w:r>
      <w:r>
        <w:rPr>
          <w:rFonts w:ascii="Verdana" w:hAnsi="Verdana"/>
          <w:sz w:val="20"/>
          <w:szCs w:val="20"/>
        </w:rPr>
        <w:t xml:space="preserve"> </w:t>
      </w:r>
      <w:r w:rsidR="00FC4642">
        <w:rPr>
          <w:rFonts w:ascii="Verdana" w:hAnsi="Verdana"/>
          <w:sz w:val="20"/>
          <w:szCs w:val="20"/>
        </w:rPr>
        <w:t>It will</w:t>
      </w:r>
      <w:r>
        <w:rPr>
          <w:rFonts w:ascii="Verdana" w:hAnsi="Verdana"/>
          <w:sz w:val="20"/>
          <w:szCs w:val="20"/>
        </w:rPr>
        <w:t xml:space="preserve"> </w:t>
      </w:r>
      <w:r w:rsidR="005F39C7">
        <w:rPr>
          <w:rFonts w:ascii="Verdana" w:hAnsi="Verdana"/>
          <w:sz w:val="20"/>
          <w:szCs w:val="20"/>
        </w:rPr>
        <w:t xml:space="preserve">also </w:t>
      </w:r>
      <w:r>
        <w:rPr>
          <w:rFonts w:ascii="Verdana" w:hAnsi="Verdana"/>
          <w:sz w:val="20"/>
          <w:szCs w:val="20"/>
        </w:rPr>
        <w:t xml:space="preserve">provide a </w:t>
      </w:r>
      <w:r w:rsidR="00FC4642">
        <w:rPr>
          <w:rFonts w:ascii="Verdana" w:hAnsi="Verdana"/>
          <w:sz w:val="20"/>
          <w:szCs w:val="20"/>
        </w:rPr>
        <w:t>timely update on how XBRL can facilitate reporting</w:t>
      </w:r>
      <w:r>
        <w:rPr>
          <w:rFonts w:ascii="Verdana" w:hAnsi="Verdana"/>
          <w:sz w:val="20"/>
          <w:szCs w:val="20"/>
        </w:rPr>
        <w:t xml:space="preserve">.  </w:t>
      </w:r>
    </w:p>
    <w:p w:rsidR="00FC4642" w:rsidRDefault="00FC4642" w:rsidP="00C8718A">
      <w:pPr>
        <w:jc w:val="both"/>
        <w:rPr>
          <w:rFonts w:ascii="Verdana" w:hAnsi="Verdana"/>
          <w:sz w:val="20"/>
          <w:szCs w:val="20"/>
        </w:rPr>
      </w:pPr>
    </w:p>
    <w:p w:rsidR="00C8718A" w:rsidRPr="008070EF" w:rsidRDefault="00C8718A" w:rsidP="00C8718A">
      <w:pPr>
        <w:spacing w:before="120"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8070EF">
        <w:rPr>
          <w:rFonts w:ascii="Verdana" w:hAnsi="Verdana"/>
          <w:b/>
          <w:bCs/>
          <w:i/>
          <w:iCs/>
          <w:sz w:val="20"/>
          <w:szCs w:val="20"/>
        </w:rPr>
        <w:t>Target group</w:t>
      </w:r>
    </w:p>
    <w:p w:rsidR="00C8718A" w:rsidRPr="008070EF" w:rsidRDefault="00C8718A" w:rsidP="00C8718A">
      <w:pPr>
        <w:jc w:val="both"/>
        <w:rPr>
          <w:rFonts w:ascii="Verdana" w:hAnsi="Verdana"/>
          <w:sz w:val="20"/>
          <w:szCs w:val="20"/>
        </w:rPr>
      </w:pPr>
      <w:r w:rsidRPr="008070EF">
        <w:rPr>
          <w:rFonts w:ascii="Verdana" w:hAnsi="Verdana"/>
          <w:sz w:val="20"/>
          <w:szCs w:val="20"/>
        </w:rPr>
        <w:t>The workshop is addressed to National Supervisory Authori</w:t>
      </w:r>
      <w:r>
        <w:rPr>
          <w:rFonts w:ascii="Verdana" w:hAnsi="Verdana"/>
          <w:sz w:val="20"/>
          <w:szCs w:val="20"/>
        </w:rPr>
        <w:t>ties’ (NSA) staff involved</w:t>
      </w:r>
      <w:r w:rsidR="00F71D9C">
        <w:rPr>
          <w:rFonts w:ascii="Verdana" w:hAnsi="Verdana"/>
          <w:sz w:val="20"/>
          <w:szCs w:val="20"/>
        </w:rPr>
        <w:t xml:space="preserve"> or will be involved </w:t>
      </w:r>
      <w:r>
        <w:rPr>
          <w:rFonts w:ascii="Verdana" w:hAnsi="Verdana"/>
          <w:sz w:val="20"/>
          <w:szCs w:val="20"/>
        </w:rPr>
        <w:t xml:space="preserve">in </w:t>
      </w:r>
      <w:r w:rsidR="00F71D9C">
        <w:rPr>
          <w:rFonts w:ascii="Verdana" w:hAnsi="Verdana"/>
          <w:sz w:val="20"/>
          <w:szCs w:val="20"/>
        </w:rPr>
        <w:t xml:space="preserve">national XBRL projects. </w:t>
      </w:r>
      <w:r w:rsidR="0050620E">
        <w:rPr>
          <w:rFonts w:ascii="Verdana" w:hAnsi="Verdana"/>
          <w:sz w:val="20"/>
          <w:szCs w:val="20"/>
        </w:rPr>
        <w:t xml:space="preserve"> </w:t>
      </w:r>
      <w:r w:rsidR="00F71D9C">
        <w:rPr>
          <w:rFonts w:ascii="Verdana" w:hAnsi="Verdana"/>
          <w:sz w:val="20"/>
          <w:szCs w:val="20"/>
        </w:rPr>
        <w:t xml:space="preserve">NSA’s staff who are also interested to learn more about XBRL are welcome to register for the seminar.  </w:t>
      </w:r>
      <w:r>
        <w:rPr>
          <w:rFonts w:ascii="Verdana" w:hAnsi="Verdana"/>
          <w:sz w:val="20"/>
          <w:szCs w:val="20"/>
        </w:rPr>
        <w:t xml:space="preserve">It is also addressed to colleagues interested to learn more about the key issues on a cross sector basis and would like an update on </w:t>
      </w:r>
      <w:r w:rsidR="00765803">
        <w:rPr>
          <w:rFonts w:ascii="Verdana" w:hAnsi="Verdana"/>
          <w:sz w:val="20"/>
          <w:szCs w:val="20"/>
        </w:rPr>
        <w:t xml:space="preserve">the use of </w:t>
      </w:r>
      <w:r w:rsidR="00A15700">
        <w:rPr>
          <w:rFonts w:ascii="Verdana" w:hAnsi="Verdana"/>
          <w:sz w:val="20"/>
          <w:szCs w:val="20"/>
        </w:rPr>
        <w:t>XBRL in</w:t>
      </w:r>
      <w:r w:rsidR="00F71D9C">
        <w:rPr>
          <w:rFonts w:ascii="Verdana" w:hAnsi="Verdana"/>
          <w:sz w:val="20"/>
          <w:szCs w:val="20"/>
        </w:rPr>
        <w:t xml:space="preserve"> the insurance industry. </w:t>
      </w:r>
      <w:r>
        <w:rPr>
          <w:rFonts w:ascii="Verdana" w:hAnsi="Verdana"/>
          <w:sz w:val="20"/>
          <w:szCs w:val="20"/>
        </w:rPr>
        <w:t xml:space="preserve"> </w:t>
      </w:r>
    </w:p>
    <w:p w:rsidR="00C8718A" w:rsidRPr="008070EF" w:rsidRDefault="00C8718A" w:rsidP="00C8718A">
      <w:pPr>
        <w:spacing w:before="240"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8070EF">
        <w:rPr>
          <w:rFonts w:ascii="Verdana" w:hAnsi="Verdana"/>
          <w:b/>
          <w:bCs/>
          <w:i/>
          <w:iCs/>
          <w:sz w:val="20"/>
          <w:szCs w:val="20"/>
        </w:rPr>
        <w:t>Learning outcomes</w:t>
      </w:r>
    </w:p>
    <w:p w:rsidR="009B37CB" w:rsidRPr="009B37CB" w:rsidRDefault="00692C36" w:rsidP="009B37CB">
      <w:pPr>
        <w:rPr>
          <w:rFonts w:ascii="Verdana" w:hAnsi="Verdana"/>
          <w:color w:val="1F497D"/>
          <w:lang w:val="en-US"/>
        </w:rPr>
      </w:pPr>
      <w:r w:rsidRPr="009B37CB">
        <w:rPr>
          <w:rFonts w:ascii="Verdana" w:hAnsi="Verdana"/>
          <w:bCs/>
          <w:iCs/>
          <w:sz w:val="20"/>
          <w:szCs w:val="20"/>
        </w:rPr>
        <w:t xml:space="preserve">Participants will </w:t>
      </w:r>
      <w:r w:rsidR="006424DA" w:rsidRPr="009B37CB">
        <w:rPr>
          <w:rFonts w:ascii="Verdana" w:hAnsi="Verdana"/>
          <w:bCs/>
          <w:iCs/>
          <w:sz w:val="20"/>
          <w:szCs w:val="20"/>
        </w:rPr>
        <w:t xml:space="preserve">on day one </w:t>
      </w:r>
      <w:r w:rsidRPr="009B37CB">
        <w:rPr>
          <w:rFonts w:ascii="Verdana" w:hAnsi="Verdana"/>
          <w:bCs/>
          <w:iCs/>
          <w:sz w:val="20"/>
          <w:szCs w:val="20"/>
        </w:rPr>
        <w:t>benefit from practical examples</w:t>
      </w:r>
      <w:r w:rsidR="006424DA" w:rsidRPr="009B37CB">
        <w:rPr>
          <w:rFonts w:ascii="Verdana" w:hAnsi="Verdana"/>
          <w:bCs/>
          <w:iCs/>
          <w:sz w:val="20"/>
          <w:szCs w:val="20"/>
        </w:rPr>
        <w:t xml:space="preserve"> and exercises</w:t>
      </w:r>
      <w:r w:rsidRPr="009B37CB">
        <w:rPr>
          <w:rFonts w:ascii="Verdana" w:hAnsi="Verdana"/>
          <w:bCs/>
          <w:iCs/>
          <w:sz w:val="20"/>
          <w:szCs w:val="20"/>
        </w:rPr>
        <w:t xml:space="preserve"> o</w:t>
      </w:r>
      <w:r w:rsidR="006424DA" w:rsidRPr="009B37CB">
        <w:rPr>
          <w:rFonts w:ascii="Verdana" w:hAnsi="Verdana"/>
          <w:bCs/>
          <w:iCs/>
          <w:sz w:val="20"/>
          <w:szCs w:val="20"/>
        </w:rPr>
        <w:t>n XBRL using their laptops.  Day one will be more a workshop style</w:t>
      </w:r>
      <w:r w:rsidR="007E70DA" w:rsidRPr="009B37CB">
        <w:rPr>
          <w:rFonts w:ascii="Verdana" w:hAnsi="Verdana"/>
          <w:bCs/>
          <w:iCs/>
          <w:sz w:val="20"/>
          <w:szCs w:val="20"/>
        </w:rPr>
        <w:t xml:space="preserve"> seminar mainly for beginners in XBRL.</w:t>
      </w:r>
      <w:r w:rsidR="009B37CB" w:rsidRPr="009B37CB">
        <w:rPr>
          <w:rFonts w:ascii="Verdana" w:hAnsi="Verdana"/>
          <w:color w:val="1F497D"/>
          <w:lang w:val="en-US"/>
        </w:rPr>
        <w:t xml:space="preserve">  </w:t>
      </w:r>
      <w:r w:rsidR="009B37CB" w:rsidRPr="009B37CB">
        <w:rPr>
          <w:rFonts w:ascii="Verdana" w:hAnsi="Verdana"/>
          <w:sz w:val="20"/>
          <w:szCs w:val="20"/>
          <w:lang w:val="en-US"/>
        </w:rPr>
        <w:t xml:space="preserve">No background on XML/XBRL is required, but </w:t>
      </w:r>
      <w:r w:rsidR="00AA314F">
        <w:rPr>
          <w:rFonts w:ascii="Verdana" w:hAnsi="Verdana"/>
          <w:sz w:val="20"/>
          <w:szCs w:val="20"/>
          <w:lang w:val="en-US"/>
        </w:rPr>
        <w:t xml:space="preserve">very </w:t>
      </w:r>
      <w:r w:rsidR="009B37CB" w:rsidRPr="009B37CB">
        <w:rPr>
          <w:rFonts w:ascii="Verdana" w:hAnsi="Verdana"/>
          <w:sz w:val="20"/>
          <w:szCs w:val="20"/>
          <w:lang w:val="en-US"/>
        </w:rPr>
        <w:t>basic concepts of IT field</w:t>
      </w:r>
      <w:r w:rsidR="009B37CB">
        <w:rPr>
          <w:rFonts w:ascii="Verdana" w:hAnsi="Verdana"/>
          <w:sz w:val="20"/>
          <w:szCs w:val="20"/>
          <w:lang w:val="en-US"/>
        </w:rPr>
        <w:t>s</w:t>
      </w:r>
      <w:r w:rsidR="009B37CB" w:rsidRPr="009B37CB">
        <w:rPr>
          <w:rFonts w:ascii="Verdana" w:hAnsi="Verdana"/>
          <w:sz w:val="20"/>
          <w:szCs w:val="20"/>
          <w:lang w:val="en-US"/>
        </w:rPr>
        <w:t xml:space="preserve"> are an advantage. This workshop is mainly oriented </w:t>
      </w:r>
      <w:r w:rsidR="00AA314F">
        <w:rPr>
          <w:rFonts w:ascii="Verdana" w:hAnsi="Verdana"/>
          <w:sz w:val="20"/>
          <w:szCs w:val="20"/>
          <w:lang w:val="en-US"/>
        </w:rPr>
        <w:t xml:space="preserve">both </w:t>
      </w:r>
      <w:r w:rsidR="009B37CB" w:rsidRPr="009B37CB">
        <w:rPr>
          <w:rFonts w:ascii="Verdana" w:hAnsi="Verdana"/>
          <w:sz w:val="20"/>
          <w:szCs w:val="20"/>
          <w:lang w:val="en-US"/>
        </w:rPr>
        <w:t xml:space="preserve">to IT experts involved in the reception or transmission of regulatory reports </w:t>
      </w:r>
      <w:r w:rsidR="00AA314F">
        <w:rPr>
          <w:rFonts w:ascii="Verdana" w:hAnsi="Verdana"/>
          <w:sz w:val="20"/>
          <w:szCs w:val="20"/>
          <w:lang w:val="en-US"/>
        </w:rPr>
        <w:t>as well as</w:t>
      </w:r>
      <w:r w:rsidR="00AA314F" w:rsidRPr="009B37CB">
        <w:rPr>
          <w:rFonts w:ascii="Verdana" w:hAnsi="Verdana"/>
          <w:sz w:val="20"/>
          <w:szCs w:val="20"/>
          <w:lang w:val="en-US"/>
        </w:rPr>
        <w:t xml:space="preserve"> </w:t>
      </w:r>
      <w:r w:rsidR="009B37CB">
        <w:rPr>
          <w:rFonts w:ascii="Verdana" w:hAnsi="Verdana"/>
          <w:sz w:val="20"/>
          <w:szCs w:val="20"/>
          <w:lang w:val="en-US"/>
        </w:rPr>
        <w:t>experts in regulation</w:t>
      </w:r>
      <w:r w:rsidR="00AA314F">
        <w:rPr>
          <w:rFonts w:ascii="Verdana" w:hAnsi="Verdana"/>
          <w:sz w:val="20"/>
          <w:szCs w:val="20"/>
          <w:lang w:val="en-US"/>
        </w:rPr>
        <w:t>. Both groups</w:t>
      </w:r>
      <w:r w:rsidR="009B37CB">
        <w:rPr>
          <w:rFonts w:ascii="Verdana" w:hAnsi="Verdana"/>
          <w:sz w:val="20"/>
          <w:szCs w:val="20"/>
          <w:lang w:val="en-US"/>
        </w:rPr>
        <w:t xml:space="preserve"> might </w:t>
      </w:r>
      <w:r w:rsidR="009B37CB" w:rsidRPr="009B37CB">
        <w:rPr>
          <w:rFonts w:ascii="Verdana" w:hAnsi="Verdana"/>
          <w:sz w:val="20"/>
          <w:szCs w:val="20"/>
          <w:lang w:val="en-US"/>
        </w:rPr>
        <w:t>find</w:t>
      </w:r>
      <w:r w:rsidR="009B37CB">
        <w:rPr>
          <w:rFonts w:ascii="Verdana" w:hAnsi="Verdana"/>
          <w:sz w:val="20"/>
          <w:szCs w:val="20"/>
          <w:lang w:val="en-US"/>
        </w:rPr>
        <w:t xml:space="preserve"> it</w:t>
      </w:r>
      <w:r w:rsidR="009B37CB" w:rsidRPr="009B37CB">
        <w:rPr>
          <w:rFonts w:ascii="Verdana" w:hAnsi="Verdana"/>
          <w:sz w:val="20"/>
          <w:szCs w:val="20"/>
          <w:lang w:val="en-US"/>
        </w:rPr>
        <w:t xml:space="preserve"> useful </w:t>
      </w:r>
      <w:r w:rsidR="009B37CB">
        <w:rPr>
          <w:rFonts w:ascii="Verdana" w:hAnsi="Verdana"/>
          <w:sz w:val="20"/>
          <w:szCs w:val="20"/>
          <w:lang w:val="en-US"/>
        </w:rPr>
        <w:t xml:space="preserve">to </w:t>
      </w:r>
      <w:r w:rsidR="009B37CB" w:rsidRPr="009B37CB">
        <w:rPr>
          <w:rFonts w:ascii="Verdana" w:hAnsi="Verdana"/>
          <w:sz w:val="20"/>
          <w:szCs w:val="20"/>
          <w:lang w:val="en-US"/>
        </w:rPr>
        <w:t xml:space="preserve">understand the IT </w:t>
      </w:r>
      <w:r w:rsidR="00AA314F">
        <w:rPr>
          <w:rFonts w:ascii="Verdana" w:hAnsi="Verdana"/>
          <w:sz w:val="20"/>
          <w:szCs w:val="20"/>
          <w:lang w:val="en-US"/>
        </w:rPr>
        <w:t xml:space="preserve">concepts, models and basic </w:t>
      </w:r>
      <w:r w:rsidR="009B37CB" w:rsidRPr="009B37CB">
        <w:rPr>
          <w:rFonts w:ascii="Verdana" w:hAnsi="Verdana"/>
          <w:sz w:val="20"/>
          <w:szCs w:val="20"/>
          <w:lang w:val="en-US"/>
        </w:rPr>
        <w:t>technology involved in primary reporting.</w:t>
      </w:r>
    </w:p>
    <w:p w:rsidR="009A030B" w:rsidRPr="00692C36" w:rsidRDefault="006424DA" w:rsidP="00C8718A">
      <w:pPr>
        <w:spacing w:before="120" w:after="120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On day two,</w:t>
      </w:r>
      <w:r w:rsidR="007E70DA">
        <w:rPr>
          <w:rFonts w:ascii="Verdana" w:hAnsi="Verdana"/>
          <w:bCs/>
          <w:iCs/>
          <w:sz w:val="20"/>
          <w:szCs w:val="20"/>
        </w:rPr>
        <w:t xml:space="preserve"> the seminar will be more high level with high profile speakers who will share their experiences and views on XBRL.</w:t>
      </w:r>
      <w:r w:rsidR="009B37CB">
        <w:rPr>
          <w:rFonts w:ascii="Verdana" w:hAnsi="Verdana"/>
          <w:bCs/>
          <w:iCs/>
          <w:sz w:val="20"/>
          <w:szCs w:val="20"/>
        </w:rPr>
        <w:t xml:space="preserve">  Day two will be less </w:t>
      </w:r>
      <w:r w:rsidR="00AA314F">
        <w:rPr>
          <w:rFonts w:ascii="Verdana" w:hAnsi="Verdana"/>
          <w:bCs/>
          <w:iCs/>
          <w:sz w:val="20"/>
          <w:szCs w:val="20"/>
        </w:rPr>
        <w:t xml:space="preserve">hands on </w:t>
      </w:r>
      <w:r w:rsidR="009B37CB">
        <w:rPr>
          <w:rFonts w:ascii="Verdana" w:hAnsi="Verdana"/>
          <w:bCs/>
          <w:iCs/>
          <w:sz w:val="20"/>
          <w:szCs w:val="20"/>
        </w:rPr>
        <w:t>than day one.</w:t>
      </w:r>
      <w:r>
        <w:rPr>
          <w:rFonts w:ascii="Verdana" w:hAnsi="Verdana"/>
          <w:bCs/>
          <w:iCs/>
          <w:sz w:val="20"/>
          <w:szCs w:val="20"/>
        </w:rPr>
        <w:t xml:space="preserve">   </w:t>
      </w:r>
    </w:p>
    <w:p w:rsidR="00C8718A" w:rsidRPr="008070EF" w:rsidRDefault="00C8718A" w:rsidP="00C8718A">
      <w:pPr>
        <w:spacing w:before="120" w:after="12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8070EF">
        <w:rPr>
          <w:rFonts w:ascii="Verdana" w:hAnsi="Verdana"/>
          <w:b/>
          <w:bCs/>
          <w:i/>
          <w:iCs/>
          <w:sz w:val="20"/>
          <w:szCs w:val="20"/>
        </w:rPr>
        <w:t>Pre-requisites (if applicable)</w:t>
      </w:r>
    </w:p>
    <w:p w:rsidR="006424DA" w:rsidRPr="006424DA" w:rsidRDefault="006424DA" w:rsidP="006424DA">
      <w:pPr>
        <w:rPr>
          <w:rFonts w:ascii="Verdana" w:hAnsi="Verdana" w:cs="Calibri"/>
          <w:sz w:val="20"/>
          <w:szCs w:val="20"/>
          <w:lang w:val="en-US"/>
        </w:rPr>
      </w:pPr>
      <w:r w:rsidRPr="006424DA">
        <w:rPr>
          <w:rFonts w:ascii="Verdana" w:hAnsi="Verdana" w:cs="Calibri"/>
          <w:sz w:val="20"/>
          <w:szCs w:val="20"/>
          <w:lang w:val="en-US"/>
        </w:rPr>
        <w:t>Attendees are kindly encouraged to came with their laptops</w:t>
      </w:r>
      <w:r>
        <w:rPr>
          <w:rFonts w:ascii="Verdana" w:hAnsi="Verdana" w:cs="Calibri"/>
          <w:sz w:val="20"/>
          <w:szCs w:val="20"/>
          <w:lang w:val="en-US"/>
        </w:rPr>
        <w:t xml:space="preserve"> for day one workshop</w:t>
      </w:r>
      <w:r w:rsidRPr="006424DA">
        <w:rPr>
          <w:rFonts w:ascii="Verdana" w:hAnsi="Verdana" w:cs="Calibri"/>
          <w:sz w:val="20"/>
          <w:szCs w:val="20"/>
          <w:lang w:val="en-US"/>
        </w:rPr>
        <w:t xml:space="preserve">. </w:t>
      </w:r>
      <w:r w:rsidR="00482E49">
        <w:rPr>
          <w:rFonts w:ascii="Verdana" w:hAnsi="Verdana" w:cs="Calibri"/>
          <w:sz w:val="20"/>
          <w:szCs w:val="20"/>
          <w:lang w:val="en-US"/>
        </w:rPr>
        <w:t>Demonstrations will be done with the free proof of concept tool</w:t>
      </w:r>
      <w:r w:rsidR="004B7BC7" w:rsidRPr="004B7BC7">
        <w:rPr>
          <w:rFonts w:ascii="Verdana" w:hAnsi="Verdana" w:cs="Calibri"/>
          <w:sz w:val="20"/>
          <w:szCs w:val="20"/>
          <w:lang w:val="en-US"/>
        </w:rPr>
        <w:t xml:space="preserve">s: </w:t>
      </w:r>
      <w:hyperlink r:id="rId8" w:history="1">
        <w:r w:rsidR="00482E49" w:rsidRPr="004B7BC7">
          <w:rPr>
            <w:rStyle w:val="Hipervnculo"/>
            <w:rFonts w:ascii="Calibri" w:hAnsi="Calibri" w:cs="Calibri"/>
            <w:lang w:val="en-US"/>
          </w:rPr>
          <w:t>Arelle</w:t>
        </w:r>
      </w:hyperlink>
      <w:r w:rsidR="00482E49">
        <w:rPr>
          <w:rFonts w:ascii="Calibri" w:hAnsi="Calibri" w:cs="Calibri"/>
          <w:lang w:val="en-US"/>
        </w:rPr>
        <w:t xml:space="preserve">, </w:t>
      </w:r>
      <w:hyperlink r:id="rId9" w:history="1">
        <w:r w:rsidR="00482E49" w:rsidRPr="004B7BC7">
          <w:rPr>
            <w:rStyle w:val="Hipervnculo"/>
            <w:rFonts w:ascii="Calibri" w:hAnsi="Calibri" w:cs="Calibri"/>
            <w:lang w:val="en-US"/>
          </w:rPr>
          <w:t>Exgen</w:t>
        </w:r>
      </w:hyperlink>
      <w:r w:rsidR="00482E49" w:rsidRPr="005E2748">
        <w:rPr>
          <w:rFonts w:ascii="Calibri" w:hAnsi="Calibri" w:cs="Calibri"/>
          <w:lang w:val="en-US"/>
        </w:rPr>
        <w:t xml:space="preserve"> and </w:t>
      </w:r>
      <w:hyperlink r:id="rId10" w:history="1">
        <w:r w:rsidR="00482E49" w:rsidRPr="004B7BC7">
          <w:rPr>
            <w:rStyle w:val="Hipervnculo"/>
            <w:rFonts w:ascii="Calibri" w:hAnsi="Calibri" w:cs="Calibri"/>
            <w:lang w:val="en-US"/>
          </w:rPr>
          <w:t>Recex</w:t>
        </w:r>
      </w:hyperlink>
      <w:r w:rsidR="00482E49">
        <w:rPr>
          <w:rFonts w:ascii="Calibri" w:hAnsi="Calibri" w:cs="Calibri"/>
          <w:lang w:val="en-US"/>
        </w:rPr>
        <w:t xml:space="preserve">. </w:t>
      </w:r>
      <w:r w:rsidRPr="006424DA">
        <w:rPr>
          <w:rFonts w:ascii="Verdana" w:hAnsi="Verdana" w:cs="Calibri"/>
          <w:sz w:val="20"/>
          <w:szCs w:val="20"/>
          <w:lang w:val="en-US"/>
        </w:rPr>
        <w:t xml:space="preserve">WiFi/ADSL is available. </w:t>
      </w:r>
      <w:r>
        <w:rPr>
          <w:rFonts w:ascii="Verdana" w:hAnsi="Verdana" w:cs="Calibri"/>
          <w:sz w:val="20"/>
          <w:szCs w:val="20"/>
          <w:lang w:val="en-US"/>
        </w:rPr>
        <w:t>T</w:t>
      </w:r>
      <w:r w:rsidRPr="006424DA">
        <w:rPr>
          <w:rFonts w:ascii="Verdana" w:hAnsi="Verdana" w:cs="Calibri"/>
          <w:sz w:val="20"/>
          <w:szCs w:val="20"/>
          <w:lang w:val="en-US"/>
        </w:rPr>
        <w:t xml:space="preserve">wo </w:t>
      </w:r>
      <w:r>
        <w:rPr>
          <w:rFonts w:ascii="Verdana" w:hAnsi="Verdana" w:cs="Calibri"/>
          <w:sz w:val="20"/>
          <w:szCs w:val="20"/>
          <w:lang w:val="en-US"/>
        </w:rPr>
        <w:t>participants</w:t>
      </w:r>
      <w:r w:rsidRPr="006424DA">
        <w:rPr>
          <w:rFonts w:ascii="Verdana" w:hAnsi="Verdana" w:cs="Calibri"/>
          <w:sz w:val="20"/>
          <w:szCs w:val="20"/>
          <w:lang w:val="en-US"/>
        </w:rPr>
        <w:t xml:space="preserve"> may </w:t>
      </w:r>
      <w:r>
        <w:rPr>
          <w:rFonts w:ascii="Verdana" w:hAnsi="Verdana" w:cs="Calibri"/>
          <w:sz w:val="20"/>
          <w:szCs w:val="20"/>
          <w:lang w:val="en-US"/>
        </w:rPr>
        <w:t xml:space="preserve">be able to </w:t>
      </w:r>
      <w:r w:rsidRPr="006424DA">
        <w:rPr>
          <w:rFonts w:ascii="Verdana" w:hAnsi="Verdana" w:cs="Calibri"/>
          <w:sz w:val="20"/>
          <w:szCs w:val="20"/>
          <w:lang w:val="en-US"/>
        </w:rPr>
        <w:t xml:space="preserve">share </w:t>
      </w:r>
      <w:r>
        <w:rPr>
          <w:rFonts w:ascii="Verdana" w:hAnsi="Verdana" w:cs="Calibri"/>
          <w:sz w:val="20"/>
          <w:szCs w:val="20"/>
          <w:lang w:val="en-US"/>
        </w:rPr>
        <w:t>one</w:t>
      </w:r>
      <w:r w:rsidRPr="006424DA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50620E" w:rsidRPr="006424DA">
        <w:rPr>
          <w:rFonts w:ascii="Verdana" w:hAnsi="Verdana" w:cs="Calibri"/>
          <w:sz w:val="20"/>
          <w:szCs w:val="20"/>
          <w:lang w:val="en-US"/>
        </w:rPr>
        <w:t>laptop;</w:t>
      </w:r>
      <w:r w:rsidRPr="006424DA">
        <w:rPr>
          <w:rFonts w:ascii="Verdana" w:hAnsi="Verdana" w:cs="Calibri"/>
          <w:sz w:val="20"/>
          <w:szCs w:val="20"/>
          <w:lang w:val="en-US"/>
        </w:rPr>
        <w:t xml:space="preserve"> a few spare laptops </w:t>
      </w:r>
      <w:r>
        <w:rPr>
          <w:rFonts w:ascii="Verdana" w:hAnsi="Verdana" w:cs="Calibri"/>
          <w:sz w:val="20"/>
          <w:szCs w:val="20"/>
          <w:lang w:val="en-US"/>
        </w:rPr>
        <w:t>may</w:t>
      </w:r>
      <w:r w:rsidRPr="006424DA">
        <w:rPr>
          <w:rFonts w:ascii="Verdana" w:hAnsi="Verdana" w:cs="Calibri"/>
          <w:sz w:val="20"/>
          <w:szCs w:val="20"/>
          <w:lang w:val="en-US"/>
        </w:rPr>
        <w:t xml:space="preserve"> be available for contingency.</w:t>
      </w:r>
    </w:p>
    <w:p w:rsidR="006424DA" w:rsidRPr="008070EF" w:rsidRDefault="006424DA" w:rsidP="00C8718A">
      <w:pPr>
        <w:spacing w:before="12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C8718A" w:rsidRPr="008070EF" w:rsidRDefault="00C8718A" w:rsidP="00C8718A">
      <w:pPr>
        <w:spacing w:before="12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8070EF">
        <w:rPr>
          <w:rFonts w:ascii="Verdana" w:hAnsi="Verdana"/>
          <w:b/>
          <w:bCs/>
          <w:i/>
          <w:iCs/>
          <w:sz w:val="20"/>
          <w:szCs w:val="20"/>
        </w:rPr>
        <w:t>Duration:</w:t>
      </w:r>
    </w:p>
    <w:p w:rsidR="00C8718A" w:rsidRPr="008070EF" w:rsidRDefault="00C8718A" w:rsidP="00C8718A">
      <w:pPr>
        <w:rPr>
          <w:rFonts w:ascii="Verdana" w:hAnsi="Verdana"/>
          <w:sz w:val="20"/>
          <w:szCs w:val="20"/>
        </w:rPr>
      </w:pPr>
      <w:r w:rsidRPr="008070EF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he</w:t>
      </w:r>
      <w:r w:rsidR="000D3843">
        <w:rPr>
          <w:rFonts w:ascii="Verdana" w:hAnsi="Verdana"/>
          <w:sz w:val="20"/>
          <w:szCs w:val="20"/>
        </w:rPr>
        <w:t xml:space="preserve"> duration of the workshop is 2</w:t>
      </w:r>
      <w:r w:rsidRPr="008070EF">
        <w:rPr>
          <w:rFonts w:ascii="Verdana" w:hAnsi="Verdana"/>
          <w:sz w:val="20"/>
          <w:szCs w:val="20"/>
        </w:rPr>
        <w:t xml:space="preserve"> days.</w:t>
      </w:r>
    </w:p>
    <w:p w:rsidR="009225D9" w:rsidRPr="008070EF" w:rsidRDefault="009225D9" w:rsidP="009225D9">
      <w:pPr>
        <w:spacing w:before="12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Registration </w:t>
      </w:r>
      <w:r w:rsidR="004D1351">
        <w:rPr>
          <w:rFonts w:ascii="Verdana" w:hAnsi="Verdana"/>
          <w:b/>
          <w:bCs/>
          <w:i/>
          <w:iCs/>
          <w:sz w:val="20"/>
          <w:szCs w:val="20"/>
        </w:rPr>
        <w:t>process</w:t>
      </w:r>
      <w:r w:rsidRPr="004D1351">
        <w:rPr>
          <w:rFonts w:ascii="Verdana" w:hAnsi="Verdana"/>
          <w:b/>
          <w:bCs/>
          <w:i/>
          <w:iCs/>
          <w:sz w:val="20"/>
          <w:szCs w:val="20"/>
        </w:rPr>
        <w:t>:</w:t>
      </w:r>
    </w:p>
    <w:p w:rsidR="009225D9" w:rsidRPr="008070EF" w:rsidRDefault="004D1351" w:rsidP="009225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registration is </w:t>
      </w:r>
      <w:r w:rsidRPr="004D1351">
        <w:rPr>
          <w:rFonts w:ascii="Verdana" w:hAnsi="Verdana"/>
          <w:sz w:val="20"/>
          <w:szCs w:val="20"/>
        </w:rPr>
        <w:t>restricted</w:t>
      </w:r>
      <w:r>
        <w:rPr>
          <w:rFonts w:ascii="Verdana" w:hAnsi="Verdana"/>
          <w:sz w:val="20"/>
          <w:szCs w:val="20"/>
        </w:rPr>
        <w:t>, only</w:t>
      </w:r>
      <w:r w:rsidRPr="004D13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</w:t>
      </w:r>
      <w:r w:rsidRPr="004D1351">
        <w:rPr>
          <w:rFonts w:ascii="Verdana" w:hAnsi="Verdana"/>
          <w:sz w:val="20"/>
          <w:szCs w:val="20"/>
        </w:rPr>
        <w:t xml:space="preserve"> supervisors</w:t>
      </w:r>
      <w:r>
        <w:rPr>
          <w:rFonts w:ascii="Verdana" w:hAnsi="Verdana"/>
          <w:sz w:val="20"/>
          <w:szCs w:val="20"/>
        </w:rPr>
        <w:t xml:space="preserve">. Ask for details to </w:t>
      </w:r>
      <w:r w:rsidR="009225D9">
        <w:rPr>
          <w:rFonts w:ascii="Verdana" w:hAnsi="Verdana"/>
          <w:sz w:val="20"/>
          <w:szCs w:val="20"/>
        </w:rPr>
        <w:t>your N</w:t>
      </w:r>
      <w:r>
        <w:rPr>
          <w:rFonts w:ascii="Verdana" w:hAnsi="Verdana"/>
          <w:sz w:val="20"/>
          <w:szCs w:val="20"/>
        </w:rPr>
        <w:t xml:space="preserve">ational </w:t>
      </w:r>
      <w:r w:rsidR="009225D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upervisory </w:t>
      </w:r>
      <w:r w:rsidR="009225D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uthority</w:t>
      </w:r>
      <w:r w:rsidR="009225D9">
        <w:rPr>
          <w:rFonts w:ascii="Verdana" w:hAnsi="Verdana"/>
          <w:sz w:val="20"/>
          <w:szCs w:val="20"/>
        </w:rPr>
        <w:t xml:space="preserve">, </w:t>
      </w:r>
      <w:hyperlink r:id="rId11" w:history="1">
        <w:r w:rsidR="009225D9" w:rsidRPr="009225D9">
          <w:rPr>
            <w:rStyle w:val="Hipervnculo"/>
            <w:rFonts w:ascii="Verdana" w:hAnsi="Verdana"/>
            <w:sz w:val="20"/>
            <w:szCs w:val="20"/>
          </w:rPr>
          <w:t>EBA webpage</w:t>
        </w:r>
      </w:hyperlink>
      <w:r w:rsidR="009225D9">
        <w:rPr>
          <w:rFonts w:ascii="Verdana" w:hAnsi="Verdana"/>
          <w:sz w:val="20"/>
          <w:szCs w:val="20"/>
        </w:rPr>
        <w:t xml:space="preserve">, or directly to </w:t>
      </w:r>
      <w:r w:rsidR="009225D9" w:rsidRPr="009225D9">
        <w:rPr>
          <w:rFonts w:ascii="Verdana" w:hAnsi="Verdana"/>
          <w:sz w:val="20"/>
          <w:szCs w:val="20"/>
        </w:rPr>
        <w:t>Shamim.DIOUMAN</w:t>
      </w:r>
      <w:r w:rsidR="009225D9">
        <w:rPr>
          <w:rFonts w:ascii="Verdana" w:hAnsi="Verdana"/>
          <w:sz w:val="20"/>
          <w:szCs w:val="20"/>
        </w:rPr>
        <w:t xml:space="preserve"> [at] </w:t>
      </w:r>
      <w:r w:rsidR="009225D9" w:rsidRPr="009225D9">
        <w:rPr>
          <w:rFonts w:ascii="Verdana" w:hAnsi="Verdana"/>
          <w:sz w:val="20"/>
          <w:szCs w:val="20"/>
        </w:rPr>
        <w:t>eba.europa.eu</w:t>
      </w:r>
    </w:p>
    <w:p w:rsidR="009225D9" w:rsidRDefault="009225D9">
      <w:pPr>
        <w:rPr>
          <w:rFonts w:ascii="Verdana" w:hAnsi="Verdana"/>
          <w:b/>
          <w:color w:val="008080"/>
          <w:sz w:val="20"/>
          <w:szCs w:val="20"/>
        </w:rPr>
      </w:pPr>
      <w:r>
        <w:rPr>
          <w:rFonts w:ascii="Verdana" w:hAnsi="Verdana"/>
          <w:b/>
          <w:color w:val="008080"/>
          <w:sz w:val="20"/>
          <w:szCs w:val="20"/>
        </w:rPr>
        <w:br w:type="page"/>
      </w:r>
    </w:p>
    <w:p w:rsidR="00C8718A" w:rsidRPr="008070EF" w:rsidRDefault="00C8718A" w:rsidP="00C8718A">
      <w:pPr>
        <w:tabs>
          <w:tab w:val="center" w:pos="2253"/>
        </w:tabs>
        <w:spacing w:before="240"/>
        <w:jc w:val="center"/>
        <w:rPr>
          <w:rFonts w:ascii="Verdana" w:hAnsi="Verdana"/>
          <w:b/>
          <w:color w:val="008080"/>
          <w:sz w:val="20"/>
          <w:szCs w:val="20"/>
        </w:rPr>
      </w:pPr>
      <w:r w:rsidRPr="008070EF">
        <w:rPr>
          <w:rFonts w:ascii="Verdana" w:hAnsi="Verdana"/>
          <w:b/>
          <w:color w:val="008080"/>
          <w:sz w:val="20"/>
          <w:szCs w:val="20"/>
        </w:rPr>
        <w:t xml:space="preserve">Programme </w:t>
      </w:r>
    </w:p>
    <w:p w:rsidR="00C8718A" w:rsidRPr="008070EF" w:rsidRDefault="0050620E" w:rsidP="00C8718A">
      <w:pPr>
        <w:tabs>
          <w:tab w:val="center" w:pos="2253"/>
        </w:tabs>
        <w:spacing w:before="240"/>
        <w:jc w:val="center"/>
        <w:rPr>
          <w:rFonts w:ascii="Verdana" w:hAnsi="Verdana"/>
          <w:b/>
          <w:color w:val="008080"/>
          <w:sz w:val="20"/>
          <w:szCs w:val="20"/>
        </w:rPr>
      </w:pPr>
      <w:r w:rsidRPr="0050620E">
        <w:rPr>
          <w:rFonts w:ascii="Verdana" w:hAnsi="Verdana"/>
          <w:b/>
          <w:color w:val="008080"/>
          <w:sz w:val="20"/>
          <w:szCs w:val="20"/>
        </w:rPr>
        <w:t xml:space="preserve">Cross-Sector seminar on </w:t>
      </w:r>
      <w:r w:rsidR="000D3843">
        <w:rPr>
          <w:rFonts w:ascii="Verdana" w:hAnsi="Verdana"/>
          <w:b/>
          <w:color w:val="008080"/>
          <w:sz w:val="20"/>
          <w:szCs w:val="20"/>
        </w:rPr>
        <w:t>XBRL Seminar</w:t>
      </w:r>
      <w:r w:rsidR="00C8718A">
        <w:rPr>
          <w:rFonts w:ascii="Verdana" w:hAnsi="Verdana"/>
          <w:b/>
          <w:color w:val="008080"/>
          <w:sz w:val="20"/>
          <w:szCs w:val="20"/>
        </w:rPr>
        <w:t xml:space="preserve">, </w:t>
      </w:r>
      <w:r w:rsidR="000D3843">
        <w:rPr>
          <w:rFonts w:ascii="Verdana" w:hAnsi="Verdana"/>
          <w:b/>
          <w:color w:val="008080"/>
          <w:sz w:val="20"/>
          <w:szCs w:val="20"/>
        </w:rPr>
        <w:t>29</w:t>
      </w:r>
      <w:r w:rsidR="00C8718A">
        <w:rPr>
          <w:rFonts w:ascii="Verdana" w:hAnsi="Verdana"/>
          <w:b/>
          <w:color w:val="008080"/>
          <w:sz w:val="20"/>
          <w:szCs w:val="20"/>
        </w:rPr>
        <w:t>-</w:t>
      </w:r>
      <w:r w:rsidR="000D3843">
        <w:rPr>
          <w:rFonts w:ascii="Verdana" w:hAnsi="Verdana"/>
          <w:b/>
          <w:color w:val="008080"/>
          <w:sz w:val="20"/>
          <w:szCs w:val="20"/>
        </w:rPr>
        <w:t>30</w:t>
      </w:r>
      <w:r w:rsidR="00C8718A" w:rsidRPr="008070EF">
        <w:rPr>
          <w:rFonts w:ascii="Verdana" w:hAnsi="Verdana"/>
          <w:b/>
          <w:color w:val="008080"/>
          <w:sz w:val="20"/>
          <w:szCs w:val="20"/>
        </w:rPr>
        <w:t xml:space="preserve"> Ma</w:t>
      </w:r>
      <w:r w:rsidR="000D3843">
        <w:rPr>
          <w:rFonts w:ascii="Verdana" w:hAnsi="Verdana"/>
          <w:b/>
          <w:color w:val="008080"/>
          <w:sz w:val="20"/>
          <w:szCs w:val="20"/>
        </w:rPr>
        <w:t>y</w:t>
      </w:r>
      <w:r w:rsidR="00C8718A" w:rsidRPr="008070EF">
        <w:rPr>
          <w:rFonts w:ascii="Verdana" w:hAnsi="Verdana"/>
          <w:b/>
          <w:color w:val="008080"/>
          <w:sz w:val="20"/>
          <w:szCs w:val="20"/>
        </w:rPr>
        <w:t xml:space="preserve"> 2012, </w:t>
      </w:r>
      <w:r w:rsidR="000D3843">
        <w:rPr>
          <w:rFonts w:ascii="Verdana" w:hAnsi="Verdana"/>
          <w:b/>
          <w:color w:val="008080"/>
          <w:sz w:val="20"/>
          <w:szCs w:val="20"/>
        </w:rPr>
        <w:t>Madrid</w:t>
      </w:r>
    </w:p>
    <w:p w:rsidR="00C8718A" w:rsidRDefault="00CE4B18" w:rsidP="00C8718A">
      <w:pPr>
        <w:spacing w:before="360"/>
        <w:jc w:val="center"/>
        <w:rPr>
          <w:rFonts w:ascii="Verdana" w:hAnsi="Verdana"/>
          <w:b/>
          <w:sz w:val="24"/>
          <w:szCs w:val="24"/>
        </w:rPr>
      </w:pPr>
      <w:r w:rsidRPr="00CE4B18">
        <w:rPr>
          <w:rFonts w:ascii="Verdana" w:hAnsi="Verdana"/>
          <w:b/>
          <w:sz w:val="24"/>
          <w:szCs w:val="24"/>
        </w:rPr>
        <w:t xml:space="preserve">Tuesday, </w:t>
      </w:r>
      <w:r w:rsidR="000D3843" w:rsidRPr="00CE4B18">
        <w:rPr>
          <w:rFonts w:ascii="Verdana" w:hAnsi="Verdana"/>
          <w:b/>
          <w:sz w:val="24"/>
          <w:szCs w:val="24"/>
        </w:rPr>
        <w:t>29</w:t>
      </w:r>
      <w:r w:rsidR="00C8718A" w:rsidRPr="00CE4B18">
        <w:rPr>
          <w:rFonts w:ascii="Verdana" w:hAnsi="Verdana"/>
          <w:b/>
          <w:sz w:val="24"/>
          <w:szCs w:val="24"/>
        </w:rPr>
        <w:t xml:space="preserve"> </w:t>
      </w:r>
      <w:r w:rsidR="000D3843" w:rsidRPr="00CE4B18">
        <w:rPr>
          <w:rFonts w:ascii="Verdana" w:hAnsi="Verdana"/>
          <w:b/>
          <w:sz w:val="24"/>
          <w:szCs w:val="24"/>
        </w:rPr>
        <w:t>May</w:t>
      </w:r>
      <w:r w:rsidR="00C8718A" w:rsidRPr="00CE4B18">
        <w:rPr>
          <w:rFonts w:ascii="Verdana" w:hAnsi="Verdana"/>
          <w:b/>
          <w:sz w:val="24"/>
          <w:szCs w:val="24"/>
        </w:rPr>
        <w:t xml:space="preserve"> 2012</w:t>
      </w:r>
    </w:p>
    <w:p w:rsidR="00AA314F" w:rsidRPr="00CE4B18" w:rsidRDefault="00AA314F" w:rsidP="00C8718A">
      <w:pPr>
        <w:spacing w:before="360"/>
        <w:jc w:val="center"/>
        <w:rPr>
          <w:rFonts w:ascii="Verdana" w:hAnsi="Verdana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C8718A" w:rsidRPr="008070EF" w:rsidTr="00A525C4">
        <w:tc>
          <w:tcPr>
            <w:tcW w:w="2088" w:type="dxa"/>
            <w:vAlign w:val="center"/>
          </w:tcPr>
          <w:p w:rsidR="00C8718A" w:rsidRPr="008070EF" w:rsidRDefault="00C8718A" w:rsidP="005E2748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09.00-09.</w:t>
            </w:r>
            <w:r w:rsidR="005E2748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7560" w:type="dxa"/>
            <w:vAlign w:val="center"/>
          </w:tcPr>
          <w:p w:rsidR="00DB0A73" w:rsidRPr="003849CE" w:rsidRDefault="00DB0A73" w:rsidP="00A525C4">
            <w:pPr>
              <w:pStyle w:val="Prrafodelista"/>
              <w:spacing w:line="360" w:lineRule="auto"/>
              <w:ind w:left="0"/>
              <w:rPr>
                <w:rFonts w:ascii="Calibri" w:hAnsi="Calibri" w:cs="Calibri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Registration</w:t>
            </w:r>
          </w:p>
          <w:p w:rsidR="00C8718A" w:rsidRPr="008070EF" w:rsidRDefault="00DB0A73" w:rsidP="005E2748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Fixing</w:t>
            </w:r>
            <w:r w:rsidRPr="003849CE">
              <w:rPr>
                <w:rFonts w:ascii="Calibri" w:hAnsi="Calibri" w:cs="Calibri"/>
                <w:lang w:val="en-US"/>
              </w:rPr>
              <w:t xml:space="preserve"> </w:t>
            </w:r>
            <w:r w:rsidR="004F4D6F">
              <w:rPr>
                <w:rFonts w:ascii="Calibri" w:hAnsi="Calibri" w:cs="Calibri"/>
                <w:lang w:val="en-US"/>
              </w:rPr>
              <w:t xml:space="preserve">installation </w:t>
            </w:r>
            <w:r>
              <w:rPr>
                <w:rFonts w:ascii="Calibri" w:hAnsi="Calibri" w:cs="Calibri"/>
                <w:lang w:val="en-US"/>
              </w:rPr>
              <w:t>problem</w:t>
            </w:r>
            <w:r w:rsidR="00C23EA0">
              <w:rPr>
                <w:rFonts w:ascii="Calibri" w:hAnsi="Calibri" w:cs="Calibri"/>
                <w:lang w:val="en-US"/>
              </w:rPr>
              <w:t>s</w:t>
            </w:r>
            <w:r w:rsidR="005E2748" w:rsidRPr="003849CE">
              <w:rPr>
                <w:rFonts w:ascii="Calibri" w:hAnsi="Calibri" w:cs="Calibri"/>
                <w:lang w:val="en-US"/>
              </w:rPr>
              <w:t xml:space="preserve"> </w:t>
            </w:r>
            <w:r w:rsidR="005E2748">
              <w:rPr>
                <w:rFonts w:ascii="Calibri" w:hAnsi="Calibri" w:cs="Calibri"/>
                <w:lang w:val="en-US"/>
              </w:rPr>
              <w:t xml:space="preserve">for free </w:t>
            </w:r>
            <w:r w:rsidR="005E2748" w:rsidRPr="003849CE">
              <w:rPr>
                <w:rFonts w:ascii="Calibri" w:hAnsi="Calibri" w:cs="Calibri"/>
                <w:lang w:val="en-US"/>
              </w:rPr>
              <w:t>tool</w:t>
            </w:r>
            <w:r w:rsidR="00A525C4">
              <w:rPr>
                <w:rFonts w:ascii="Calibri" w:hAnsi="Calibri" w:cs="Calibri"/>
                <w:lang w:val="en-US"/>
              </w:rPr>
              <w:t xml:space="preserve">s: </w:t>
            </w:r>
            <w:hyperlink r:id="rId12" w:history="1">
              <w:r w:rsidR="00A525C4" w:rsidRPr="004B7BC7">
                <w:rPr>
                  <w:rStyle w:val="Hipervnculo"/>
                  <w:rFonts w:ascii="Calibri" w:hAnsi="Calibri" w:cs="Calibri"/>
                  <w:lang w:val="en-US"/>
                </w:rPr>
                <w:t>Arelle</w:t>
              </w:r>
            </w:hyperlink>
            <w:r w:rsidR="005E2748">
              <w:rPr>
                <w:rFonts w:ascii="Calibri" w:hAnsi="Calibri" w:cs="Calibri"/>
                <w:lang w:val="en-US"/>
              </w:rPr>
              <w:t xml:space="preserve">, </w:t>
            </w:r>
            <w:hyperlink r:id="rId13" w:history="1">
              <w:r w:rsidR="005E2748" w:rsidRPr="004B7BC7">
                <w:rPr>
                  <w:rStyle w:val="Hipervnculo"/>
                  <w:rFonts w:ascii="Calibri" w:hAnsi="Calibri" w:cs="Calibri"/>
                  <w:lang w:val="en-US"/>
                </w:rPr>
                <w:t>Exgen</w:t>
              </w:r>
            </w:hyperlink>
            <w:r w:rsidR="00A525C4" w:rsidRPr="005E2748">
              <w:rPr>
                <w:rFonts w:ascii="Calibri" w:hAnsi="Calibri" w:cs="Calibri"/>
                <w:lang w:val="en-US"/>
              </w:rPr>
              <w:t xml:space="preserve"> and </w:t>
            </w:r>
            <w:hyperlink r:id="rId14" w:history="1">
              <w:r w:rsidR="00A525C4" w:rsidRPr="004B7BC7">
                <w:rPr>
                  <w:rStyle w:val="Hipervnculo"/>
                  <w:rFonts w:ascii="Calibri" w:hAnsi="Calibri" w:cs="Calibri"/>
                  <w:lang w:val="en-US"/>
                </w:rPr>
                <w:t>Recex</w:t>
              </w:r>
            </w:hyperlink>
          </w:p>
        </w:tc>
      </w:tr>
      <w:tr w:rsidR="00C8718A" w:rsidRPr="008070EF" w:rsidTr="00A525C4">
        <w:tc>
          <w:tcPr>
            <w:tcW w:w="2088" w:type="dxa"/>
            <w:vAlign w:val="center"/>
          </w:tcPr>
          <w:p w:rsidR="00C8718A" w:rsidRPr="008070EF" w:rsidRDefault="00FB125B" w:rsidP="00C23EA0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09.</w:t>
            </w:r>
            <w:r w:rsidR="00C23EA0">
              <w:rPr>
                <w:rFonts w:ascii="Verdana" w:hAnsi="Verdana"/>
                <w:b/>
                <w:sz w:val="20"/>
                <w:szCs w:val="20"/>
              </w:rPr>
              <w:t>30</w:t>
            </w:r>
            <w:r>
              <w:rPr>
                <w:rFonts w:ascii="Verdana" w:hAnsi="Verdana"/>
                <w:b/>
                <w:sz w:val="20"/>
                <w:szCs w:val="20"/>
              </w:rPr>
              <w:t>-10.</w:t>
            </w:r>
            <w:r w:rsidR="00C23EA0">
              <w:rPr>
                <w:rFonts w:ascii="Verdana" w:hAnsi="Verdana"/>
                <w:b/>
                <w:sz w:val="20"/>
                <w:szCs w:val="20"/>
              </w:rPr>
              <w:t>00</w:t>
            </w:r>
          </w:p>
        </w:tc>
        <w:tc>
          <w:tcPr>
            <w:tcW w:w="7560" w:type="dxa"/>
            <w:vAlign w:val="center"/>
          </w:tcPr>
          <w:p w:rsidR="00C8718A" w:rsidRPr="00067694" w:rsidRDefault="00C8718A" w:rsidP="00A525C4">
            <w:pPr>
              <w:spacing w:line="360" w:lineRule="auto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67694">
              <w:rPr>
                <w:rFonts w:ascii="Verdana" w:hAnsi="Verdana"/>
                <w:bCs/>
                <w:sz w:val="20"/>
                <w:szCs w:val="20"/>
                <w:lang w:val="en-US"/>
              </w:rPr>
              <w:t>Opening remarks</w:t>
            </w:r>
            <w:r w:rsidR="003207D9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- Objectives of day one</w:t>
            </w:r>
            <w:r w:rsidRPr="00067694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</w:p>
          <w:p w:rsidR="00C8718A" w:rsidRPr="008070EF" w:rsidRDefault="00067694" w:rsidP="00A525C4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Shamim Diouman and Andreas Weller</w:t>
            </w:r>
            <w:r w:rsidR="00B362D8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2028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-</w:t>
            </w:r>
            <w:r w:rsidR="00B362D8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2028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EBA</w:t>
            </w:r>
          </w:p>
        </w:tc>
      </w:tr>
      <w:tr w:rsidR="00C8718A" w:rsidRPr="008070EF" w:rsidTr="00A525C4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8718A" w:rsidRPr="008070EF" w:rsidRDefault="00FB125B" w:rsidP="00C23EA0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C8718A" w:rsidRPr="008070EF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C23EA0">
              <w:rPr>
                <w:rFonts w:ascii="Verdana" w:hAnsi="Verdana"/>
                <w:b/>
                <w:sz w:val="20"/>
                <w:szCs w:val="20"/>
              </w:rPr>
              <w:t>00</w:t>
            </w:r>
            <w:r w:rsidR="00C8718A" w:rsidRPr="008070EF">
              <w:rPr>
                <w:rFonts w:ascii="Verdana" w:hAnsi="Verdana"/>
                <w:b/>
                <w:sz w:val="20"/>
                <w:szCs w:val="20"/>
              </w:rPr>
              <w:t>-1</w:t>
            </w:r>
            <w:r w:rsidR="00A525C4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C23EA0">
              <w:rPr>
                <w:rFonts w:ascii="Verdana" w:hAnsi="Verdana"/>
                <w:b/>
                <w:sz w:val="20"/>
                <w:szCs w:val="20"/>
              </w:rPr>
              <w:t>00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3042F2" w:rsidRPr="003042F2" w:rsidRDefault="003042F2" w:rsidP="00A525C4">
            <w:pPr>
              <w:pStyle w:val="Prrafodelista"/>
              <w:spacing w:line="360" w:lineRule="auto"/>
              <w:ind w:left="0"/>
              <w:rPr>
                <w:rFonts w:ascii="Calibri" w:hAnsi="Calibri" w:cs="Calibri"/>
                <w:lang w:val="en-US"/>
              </w:rPr>
            </w:pPr>
            <w:r w:rsidRPr="003042F2">
              <w:rPr>
                <w:rFonts w:ascii="Calibri" w:hAnsi="Calibri" w:cs="Calibri"/>
                <w:lang w:val="en-US"/>
              </w:rPr>
              <w:t xml:space="preserve">Conceptual approach: </w:t>
            </w:r>
            <w:r w:rsidR="00EA09CD">
              <w:rPr>
                <w:rFonts w:ascii="Calibri" w:hAnsi="Calibri" w:cs="Calibri"/>
                <w:lang w:val="en-US"/>
              </w:rPr>
              <w:t xml:space="preserve"> </w:t>
            </w:r>
            <w:r w:rsidR="00EA09CD" w:rsidRPr="00F969DF">
              <w:rPr>
                <w:rFonts w:ascii="Verdana" w:hAnsi="Verdana" w:cs="Calibri"/>
                <w:sz w:val="20"/>
                <w:szCs w:val="20"/>
                <w:lang w:val="en-US"/>
              </w:rPr>
              <w:t>Data Point Model</w:t>
            </w:r>
            <w:r w:rsidR="00B362D8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and XBRL Interactive Data</w:t>
            </w:r>
          </w:p>
          <w:p w:rsidR="00C8718A" w:rsidRPr="008070EF" w:rsidRDefault="007E2A29" w:rsidP="00A525C4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Ignacio Boixo – Banco de España</w:t>
            </w:r>
          </w:p>
        </w:tc>
      </w:tr>
      <w:tr w:rsidR="00C8718A" w:rsidRPr="008070EF" w:rsidTr="00A525C4">
        <w:trPr>
          <w:trHeight w:val="443"/>
        </w:trPr>
        <w:tc>
          <w:tcPr>
            <w:tcW w:w="2088" w:type="dxa"/>
            <w:shd w:val="clear" w:color="auto" w:fill="E6E6E6"/>
            <w:vAlign w:val="center"/>
          </w:tcPr>
          <w:p w:rsidR="00C8718A" w:rsidRPr="008070EF" w:rsidRDefault="00C8718A" w:rsidP="00C23EA0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70EF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992BCE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C23EA0">
              <w:rPr>
                <w:rFonts w:ascii="Verdana" w:hAnsi="Verdana"/>
                <w:b/>
                <w:sz w:val="20"/>
                <w:szCs w:val="20"/>
              </w:rPr>
              <w:t>00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-1</w:t>
            </w:r>
            <w:r w:rsidR="00992BCE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C23EA0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C8718A" w:rsidRPr="008070EF" w:rsidRDefault="00C8718A" w:rsidP="00A525C4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70EF">
              <w:rPr>
                <w:rFonts w:ascii="Verdana" w:hAnsi="Verdana"/>
                <w:b/>
                <w:sz w:val="20"/>
                <w:szCs w:val="20"/>
                <w:lang w:val="en-US"/>
              </w:rPr>
              <w:t>Coffee break</w:t>
            </w:r>
          </w:p>
        </w:tc>
      </w:tr>
      <w:tr w:rsidR="00FB125B" w:rsidRPr="008070EF" w:rsidTr="00A525C4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FB125B" w:rsidRPr="008070EF" w:rsidRDefault="00FB125B" w:rsidP="00C23EA0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525C4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C23EA0">
              <w:rPr>
                <w:rFonts w:ascii="Verdana" w:hAnsi="Verdana"/>
                <w:b/>
                <w:sz w:val="20"/>
                <w:szCs w:val="20"/>
              </w:rPr>
              <w:t>15</w:t>
            </w:r>
            <w:r>
              <w:rPr>
                <w:rFonts w:ascii="Verdana" w:hAnsi="Verdana"/>
                <w:b/>
                <w:sz w:val="20"/>
                <w:szCs w:val="20"/>
              </w:rPr>
              <w:t>-1</w:t>
            </w:r>
            <w:r w:rsidR="00C23EA0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A09CD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525C4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A525C4" w:rsidRPr="00A525C4" w:rsidRDefault="00135BD8" w:rsidP="00A525C4">
            <w:pPr>
              <w:pStyle w:val="Prrafodelista"/>
              <w:spacing w:line="360" w:lineRule="auto"/>
              <w:ind w:left="0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COREP and FINREP Data Point Models</w:t>
            </w:r>
            <w:r w:rsidR="007E2A2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</w:p>
          <w:p w:rsidR="00FB125B" w:rsidRPr="008070EF" w:rsidRDefault="007E2A29" w:rsidP="00C23EA0">
            <w:pPr>
              <w:spacing w:line="360" w:lineRule="auto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Wolfgang</w:t>
            </w:r>
            <w:r w:rsidR="00C23EA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Stro</w:t>
            </w:r>
            <w:r w:rsidR="00B362D8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h</w:t>
            </w:r>
            <w:r w:rsidR="00C23EA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bach – EBA; </w:t>
            </w:r>
            <w:r w:rsidRPr="007E2A2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Carlos</w:t>
            </w:r>
            <w:r w:rsidR="00C23EA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Ro</w:t>
            </w:r>
            <w:r w:rsidR="00B362D8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drí</w:t>
            </w:r>
            <w:r w:rsidR="00C23EA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guez – FINREP Chair</w:t>
            </w:r>
          </w:p>
        </w:tc>
      </w:tr>
      <w:tr w:rsidR="00930EA0" w:rsidRPr="008070EF" w:rsidTr="00A525C4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930EA0" w:rsidRDefault="00EA09CD" w:rsidP="00C23EA0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C23EA0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.15-12.45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30EA0" w:rsidRDefault="00930EA0" w:rsidP="00A525C4">
            <w:pPr>
              <w:pStyle w:val="Prrafodelista"/>
              <w:spacing w:line="360" w:lineRule="auto"/>
              <w:ind w:left="0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Data Point Model</w:t>
            </w:r>
            <w:r w:rsidR="00280C3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060D71">
              <w:rPr>
                <w:rFonts w:ascii="Verdana" w:hAnsi="Verdana" w:cs="Calibri"/>
                <w:sz w:val="20"/>
                <w:szCs w:val="20"/>
                <w:lang w:val="en-US"/>
              </w:rPr>
              <w:t>process at the EBA</w:t>
            </w:r>
          </w:p>
          <w:p w:rsidR="00930EA0" w:rsidRPr="00EA09CD" w:rsidRDefault="00930EA0" w:rsidP="00A525C4">
            <w:pPr>
              <w:pStyle w:val="Prrafodelista"/>
              <w:spacing w:line="360" w:lineRule="auto"/>
              <w:ind w:left="0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EA09CD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C</w:t>
            </w:r>
            <w:r w:rsidR="0097595F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arlos Martins</w:t>
            </w:r>
            <w:r w:rsidR="006F2C5B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- EBA</w:t>
            </w:r>
          </w:p>
        </w:tc>
      </w:tr>
      <w:tr w:rsidR="00C8718A" w:rsidRPr="008070EF" w:rsidTr="00A525C4">
        <w:tc>
          <w:tcPr>
            <w:tcW w:w="2088" w:type="dxa"/>
            <w:shd w:val="clear" w:color="auto" w:fill="E6E6E6"/>
            <w:vAlign w:val="center"/>
          </w:tcPr>
          <w:p w:rsidR="00C8718A" w:rsidRPr="008070EF" w:rsidRDefault="00C8718A" w:rsidP="00C23EA0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C23EA0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A09CD">
              <w:rPr>
                <w:rFonts w:ascii="Verdana" w:hAnsi="Verdana"/>
                <w:b/>
                <w:sz w:val="20"/>
                <w:szCs w:val="20"/>
              </w:rPr>
              <w:t>55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-1</w:t>
            </w:r>
            <w:r w:rsidR="00DB0A73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DB0A73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992BCE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C8718A" w:rsidRPr="008070EF" w:rsidRDefault="00C8718A" w:rsidP="00A525C4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70EF">
              <w:rPr>
                <w:rFonts w:ascii="Verdana" w:hAnsi="Verdana"/>
                <w:b/>
                <w:sz w:val="20"/>
                <w:szCs w:val="20"/>
              </w:rPr>
              <w:t xml:space="preserve">Lunch </w:t>
            </w:r>
          </w:p>
        </w:tc>
      </w:tr>
      <w:tr w:rsidR="00C8718A" w:rsidRPr="008070EF" w:rsidTr="00A525C4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8718A" w:rsidRPr="008070EF" w:rsidRDefault="00C8718A" w:rsidP="00A525C4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70EF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DB0A73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DB0A73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992BCE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-1</w:t>
            </w:r>
            <w:r w:rsidR="00DB0A73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DB0A73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992BCE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A525C4" w:rsidRPr="00A52AA7" w:rsidRDefault="007E2A29" w:rsidP="00A525C4">
            <w:pPr>
              <w:pStyle w:val="Prrafodelista"/>
              <w:spacing w:line="360" w:lineRule="auto"/>
              <w:ind w:left="0"/>
              <w:rPr>
                <w:rFonts w:ascii="Calibri" w:hAnsi="Calibri" w:cs="Calibri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Data Point Model </w:t>
            </w:r>
            <w:r w:rsidR="00B362D8">
              <w:rPr>
                <w:rFonts w:ascii="Verdana" w:hAnsi="Verdana"/>
                <w:bCs/>
                <w:sz w:val="20"/>
                <w:szCs w:val="20"/>
                <w:lang w:val="en-US"/>
              </w:rPr>
              <w:t>and</w:t>
            </w:r>
            <w:r w:rsidR="001C5A26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XBRL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r w:rsidR="00135BD8">
              <w:rPr>
                <w:rFonts w:ascii="Verdana" w:hAnsi="Verdana"/>
                <w:bCs/>
                <w:sz w:val="20"/>
                <w:szCs w:val="20"/>
                <w:lang w:val="en-US"/>
              </w:rPr>
              <w:t>T</w:t>
            </w:r>
            <w:r w:rsidRPr="004F4D6F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axonomies </w:t>
            </w:r>
            <w:r w:rsidR="00B362D8">
              <w:rPr>
                <w:rFonts w:ascii="Verdana" w:hAnsi="Verdana"/>
                <w:bCs/>
                <w:sz w:val="20"/>
                <w:szCs w:val="20"/>
                <w:lang w:val="en-US"/>
              </w:rPr>
              <w:t>/</w:t>
            </w:r>
            <w:r w:rsidRPr="004F4D6F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Formulas</w:t>
            </w:r>
          </w:p>
          <w:p w:rsidR="00C8718A" w:rsidRPr="008070EF" w:rsidRDefault="006F2C5B" w:rsidP="006F2C5B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Victor Morilla – Bank of Spain</w:t>
            </w:r>
          </w:p>
        </w:tc>
      </w:tr>
      <w:tr w:rsidR="00C8718A" w:rsidRPr="008070EF" w:rsidTr="00A525C4">
        <w:tc>
          <w:tcPr>
            <w:tcW w:w="2088" w:type="dxa"/>
            <w:shd w:val="clear" w:color="auto" w:fill="E6E6E6"/>
            <w:vAlign w:val="center"/>
          </w:tcPr>
          <w:p w:rsidR="00C8718A" w:rsidRPr="008070EF" w:rsidRDefault="00C8718A" w:rsidP="00A525C4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70EF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DB0A73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DB0A73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992BCE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-15.</w:t>
            </w:r>
            <w:r w:rsidR="00DB0A73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92BCE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C8718A" w:rsidRPr="008070EF" w:rsidRDefault="00C8718A" w:rsidP="00A525C4">
            <w:pPr>
              <w:tabs>
                <w:tab w:val="left" w:pos="1620"/>
              </w:tabs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70EF">
              <w:rPr>
                <w:rFonts w:ascii="Verdana" w:hAnsi="Verdana"/>
                <w:b/>
                <w:sz w:val="20"/>
                <w:szCs w:val="20"/>
                <w:lang w:val="en-US"/>
              </w:rPr>
              <w:t>Coffee break</w:t>
            </w:r>
          </w:p>
        </w:tc>
      </w:tr>
      <w:tr w:rsidR="00C8718A" w:rsidRPr="008070EF" w:rsidTr="00EA09CD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8718A" w:rsidRPr="008070EF" w:rsidRDefault="00C8718A" w:rsidP="00A525C4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15.</w:t>
            </w:r>
            <w:r w:rsidR="00DB0A73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92BCE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-16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DB0A73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92BCE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A525C4" w:rsidRDefault="007E2A29" w:rsidP="00A525C4">
            <w:pPr>
              <w:tabs>
                <w:tab w:val="left" w:pos="1620"/>
              </w:tabs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2AA7">
              <w:rPr>
                <w:rFonts w:ascii="Calibri" w:hAnsi="Calibri" w:cs="Calibri"/>
                <w:lang w:val="en-US"/>
              </w:rPr>
              <w:t xml:space="preserve">How the information is transmitted: The </w:t>
            </w:r>
            <w:r>
              <w:rPr>
                <w:rFonts w:ascii="Calibri" w:hAnsi="Calibri" w:cs="Calibri"/>
                <w:lang w:val="en-US"/>
              </w:rPr>
              <w:t xml:space="preserve">flow of </w:t>
            </w:r>
            <w:r w:rsidRPr="00A52AA7">
              <w:rPr>
                <w:rFonts w:ascii="Calibri" w:hAnsi="Calibri" w:cs="Calibri"/>
                <w:lang w:val="en-US"/>
              </w:rPr>
              <w:t>XBRL Instance Document</w:t>
            </w:r>
            <w:r>
              <w:rPr>
                <w:rFonts w:ascii="Calibri" w:hAnsi="Calibri" w:cs="Calibri"/>
                <w:lang w:val="en-US"/>
              </w:rPr>
              <w:t>s</w:t>
            </w:r>
          </w:p>
          <w:p w:rsidR="00C8718A" w:rsidRPr="008070EF" w:rsidRDefault="007E2A29" w:rsidP="006F2C5B">
            <w:pPr>
              <w:tabs>
                <w:tab w:val="left" w:pos="162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Katrin </w:t>
            </w:r>
            <w:r w:rsidR="006F2C5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Heinze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2028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Bundesbank</w:t>
            </w:r>
          </w:p>
        </w:tc>
      </w:tr>
      <w:tr w:rsidR="00992BCE" w:rsidRPr="008070EF" w:rsidTr="00EA09CD">
        <w:tc>
          <w:tcPr>
            <w:tcW w:w="2088" w:type="dxa"/>
            <w:shd w:val="clear" w:color="auto" w:fill="E6E6E6"/>
            <w:vAlign w:val="center"/>
          </w:tcPr>
          <w:p w:rsidR="00992BCE" w:rsidRDefault="00DB0A73" w:rsidP="00A525C4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16:3</w:t>
            </w:r>
            <w:r w:rsidR="001B4C24">
              <w:rPr>
                <w:rFonts w:ascii="Verdana" w:hAnsi="Verdana"/>
                <w:b/>
                <w:sz w:val="20"/>
                <w:szCs w:val="20"/>
              </w:rPr>
              <w:t>0-16: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1B4C24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992BCE" w:rsidRDefault="00992BCE" w:rsidP="00A525C4">
            <w:pPr>
              <w:tabs>
                <w:tab w:val="left" w:pos="1620"/>
              </w:tabs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Wrap up and conclusions</w:t>
            </w:r>
          </w:p>
          <w:p w:rsidR="00992BCE" w:rsidRPr="00992BCE" w:rsidRDefault="00992BCE" w:rsidP="00A525C4">
            <w:pPr>
              <w:tabs>
                <w:tab w:val="left" w:pos="162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92BCE">
              <w:rPr>
                <w:rFonts w:ascii="Verdana" w:hAnsi="Verdana"/>
                <w:b/>
                <w:sz w:val="20"/>
                <w:szCs w:val="20"/>
                <w:lang w:val="en-US"/>
              </w:rPr>
              <w:t>Shamim Diouman - EBA</w:t>
            </w:r>
          </w:p>
        </w:tc>
      </w:tr>
    </w:tbl>
    <w:p w:rsidR="00AA314F" w:rsidRDefault="00AA314F" w:rsidP="00C8718A">
      <w:pPr>
        <w:spacing w:before="360"/>
        <w:jc w:val="center"/>
        <w:rPr>
          <w:rFonts w:ascii="Verdana" w:hAnsi="Verdana"/>
          <w:b/>
          <w:sz w:val="24"/>
          <w:szCs w:val="24"/>
        </w:rPr>
      </w:pPr>
    </w:p>
    <w:p w:rsidR="00C8718A" w:rsidRDefault="00AA314F" w:rsidP="00C8718A">
      <w:pPr>
        <w:spacing w:before="36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  <w:r w:rsidR="00CE4B18" w:rsidRPr="00CE4B18">
        <w:rPr>
          <w:rFonts w:ascii="Verdana" w:hAnsi="Verdana"/>
          <w:b/>
          <w:sz w:val="24"/>
          <w:szCs w:val="24"/>
        </w:rPr>
        <w:t xml:space="preserve">Wednesday, </w:t>
      </w:r>
      <w:r w:rsidR="000D3843" w:rsidRPr="00CE4B18">
        <w:rPr>
          <w:rFonts w:ascii="Verdana" w:hAnsi="Verdana"/>
          <w:b/>
          <w:sz w:val="24"/>
          <w:szCs w:val="24"/>
        </w:rPr>
        <w:t>30</w:t>
      </w:r>
      <w:r w:rsidR="00C8718A" w:rsidRPr="00CE4B18">
        <w:rPr>
          <w:rFonts w:ascii="Verdana" w:hAnsi="Verdana"/>
          <w:b/>
          <w:sz w:val="24"/>
          <w:szCs w:val="24"/>
        </w:rPr>
        <w:t xml:space="preserve"> Ma</w:t>
      </w:r>
      <w:r w:rsidR="000D3843" w:rsidRPr="00CE4B18">
        <w:rPr>
          <w:rFonts w:ascii="Verdana" w:hAnsi="Verdana"/>
          <w:b/>
          <w:sz w:val="24"/>
          <w:szCs w:val="24"/>
        </w:rPr>
        <w:t>y</w:t>
      </w:r>
      <w:r w:rsidR="00C8718A" w:rsidRPr="00CE4B18">
        <w:rPr>
          <w:rFonts w:ascii="Verdana" w:hAnsi="Verdana"/>
          <w:b/>
          <w:sz w:val="24"/>
          <w:szCs w:val="24"/>
        </w:rPr>
        <w:t xml:space="preserve"> 2012</w:t>
      </w:r>
    </w:p>
    <w:p w:rsidR="00AA314F" w:rsidRPr="00CE4B18" w:rsidRDefault="00AA314F" w:rsidP="00C8718A">
      <w:pPr>
        <w:spacing w:before="360"/>
        <w:jc w:val="center"/>
        <w:rPr>
          <w:rFonts w:ascii="Verdana" w:hAnsi="Verdana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A15700" w:rsidRPr="008070EF" w:rsidTr="004F4D6F">
        <w:tc>
          <w:tcPr>
            <w:tcW w:w="2088" w:type="dxa"/>
            <w:vAlign w:val="center"/>
          </w:tcPr>
          <w:p w:rsidR="00A15700" w:rsidRDefault="00A15700" w:rsidP="004F4D6F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8:30-9:00</w:t>
            </w:r>
          </w:p>
        </w:tc>
        <w:tc>
          <w:tcPr>
            <w:tcW w:w="7560" w:type="dxa"/>
            <w:vAlign w:val="center"/>
          </w:tcPr>
          <w:p w:rsidR="00A15700" w:rsidRPr="00A15700" w:rsidRDefault="00A15700" w:rsidP="004F4D6F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1570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Registration</w:t>
            </w:r>
          </w:p>
        </w:tc>
      </w:tr>
      <w:tr w:rsidR="00C8718A" w:rsidRPr="008070EF" w:rsidTr="004F4D6F">
        <w:tc>
          <w:tcPr>
            <w:tcW w:w="2088" w:type="dxa"/>
            <w:vAlign w:val="center"/>
          </w:tcPr>
          <w:p w:rsidR="00C8718A" w:rsidRPr="008070EF" w:rsidRDefault="00A15700" w:rsidP="004F4D6F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09.00</w:t>
            </w:r>
            <w:r w:rsidR="00067694">
              <w:rPr>
                <w:rFonts w:ascii="Verdana" w:hAnsi="Verdana"/>
                <w:b/>
                <w:sz w:val="20"/>
                <w:szCs w:val="20"/>
              </w:rPr>
              <w:t>-9</w:t>
            </w:r>
            <w:r w:rsidR="00C8718A" w:rsidRPr="008070EF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7560" w:type="dxa"/>
            <w:vAlign w:val="center"/>
          </w:tcPr>
          <w:p w:rsidR="00067694" w:rsidRPr="00067694" w:rsidRDefault="00067694" w:rsidP="004F4D6F">
            <w:pPr>
              <w:spacing w:line="360" w:lineRule="auto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67694">
              <w:rPr>
                <w:rFonts w:ascii="Verdana" w:hAnsi="Verdana"/>
                <w:bCs/>
                <w:sz w:val="20"/>
                <w:szCs w:val="20"/>
                <w:lang w:val="en-US"/>
              </w:rPr>
              <w:t>Opening remarks</w:t>
            </w:r>
            <w:r w:rsidR="003207D9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- Objectives of day two</w:t>
            </w:r>
            <w:r w:rsidRPr="00067694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</w:p>
          <w:p w:rsidR="00C8718A" w:rsidRPr="00873E34" w:rsidRDefault="00067694" w:rsidP="004F4D6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Shamim Diouman and Andreas Weller</w:t>
            </w:r>
          </w:p>
        </w:tc>
      </w:tr>
      <w:tr w:rsidR="00C8718A" w:rsidRPr="008070EF" w:rsidTr="004F4D6F">
        <w:tc>
          <w:tcPr>
            <w:tcW w:w="2088" w:type="dxa"/>
            <w:vAlign w:val="center"/>
          </w:tcPr>
          <w:p w:rsidR="00C8718A" w:rsidRPr="008070EF" w:rsidRDefault="00067694" w:rsidP="004F4D6F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  <w:r w:rsidR="00A1570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C8718A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A15700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C8718A" w:rsidRPr="008070EF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A15700">
              <w:rPr>
                <w:rFonts w:ascii="Verdana" w:hAnsi="Verdana"/>
                <w:b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560" w:type="dxa"/>
            <w:vAlign w:val="center"/>
          </w:tcPr>
          <w:p w:rsidR="00C8718A" w:rsidRPr="00DC62C0" w:rsidRDefault="00067694" w:rsidP="004F4D6F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Keynote speech</w:t>
            </w:r>
            <w:r w:rsidR="00E87116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E87116" w:rsidRPr="00E87116">
              <w:rPr>
                <w:rFonts w:ascii="Verdana" w:hAnsi="Verdana"/>
                <w:sz w:val="20"/>
                <w:szCs w:val="20"/>
              </w:rPr>
              <w:t>EBA’s approach on XBRL project timeline</w:t>
            </w:r>
          </w:p>
          <w:p w:rsidR="00C8718A" w:rsidRPr="008070EF" w:rsidRDefault="00067694" w:rsidP="004F4D6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Andreas Weller - EBA</w:t>
            </w:r>
          </w:p>
        </w:tc>
      </w:tr>
      <w:tr w:rsidR="002E1763" w:rsidRPr="008070EF" w:rsidTr="004F4D6F">
        <w:tc>
          <w:tcPr>
            <w:tcW w:w="2088" w:type="dxa"/>
            <w:vAlign w:val="center"/>
          </w:tcPr>
          <w:p w:rsidR="002E1763" w:rsidRDefault="00A15700" w:rsidP="004F4D6F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2E1763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2E1763">
              <w:rPr>
                <w:rFonts w:ascii="Verdana" w:hAnsi="Verdana"/>
                <w:b/>
                <w:sz w:val="20"/>
                <w:szCs w:val="20"/>
              </w:rPr>
              <w:t>5-10.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2E1763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560" w:type="dxa"/>
            <w:vAlign w:val="center"/>
          </w:tcPr>
          <w:p w:rsidR="002E1763" w:rsidRDefault="002E1763" w:rsidP="004F4D6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Keynote speech</w:t>
            </w:r>
            <w:r w:rsidR="00BE7F1D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BE7F1D" w:rsidRPr="00BE7F1D">
              <w:rPr>
                <w:rFonts w:ascii="Verdana" w:hAnsi="Verdana"/>
                <w:sz w:val="20"/>
                <w:szCs w:val="20"/>
              </w:rPr>
              <w:t>The future of XBRL</w:t>
            </w:r>
          </w:p>
          <w:p w:rsidR="002E1763" w:rsidRPr="002E1763" w:rsidRDefault="0098153B" w:rsidP="00B362D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Gil</w:t>
            </w:r>
            <w:r w:rsidR="00A20488">
              <w:rPr>
                <w:rFonts w:ascii="Verdana" w:hAnsi="Verdana"/>
                <w:b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sz w:val="20"/>
                <w:szCs w:val="20"/>
              </w:rPr>
              <w:t>es Mag</w:t>
            </w:r>
            <w:r w:rsidR="007E2A29">
              <w:rPr>
                <w:rFonts w:ascii="Verdana" w:hAnsi="Verdana"/>
                <w:b/>
                <w:sz w:val="20"/>
                <w:szCs w:val="20"/>
              </w:rPr>
              <w:t>u</w:t>
            </w:r>
            <w:r>
              <w:rPr>
                <w:rFonts w:ascii="Verdana" w:hAnsi="Verdana"/>
                <w:b/>
                <w:sz w:val="20"/>
                <w:szCs w:val="20"/>
              </w:rPr>
              <w:t>et</w:t>
            </w:r>
            <w:r w:rsidR="002E1763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Secretary General</w:t>
            </w:r>
            <w:r w:rsidR="004B7BC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2E1763">
              <w:rPr>
                <w:rFonts w:ascii="Verdana" w:hAnsi="Verdana"/>
                <w:b/>
                <w:sz w:val="20"/>
                <w:szCs w:val="20"/>
              </w:rPr>
              <w:t xml:space="preserve"> XBRL Europe</w:t>
            </w:r>
            <w:r w:rsidR="002E1763" w:rsidRPr="002E1763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</w:tr>
      <w:tr w:rsidR="00D3007E" w:rsidRPr="008070EF" w:rsidTr="004F4D6F">
        <w:tc>
          <w:tcPr>
            <w:tcW w:w="2088" w:type="dxa"/>
            <w:vAlign w:val="center"/>
          </w:tcPr>
          <w:p w:rsidR="00D3007E" w:rsidRDefault="00D3007E" w:rsidP="004F4D6F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  <w:r w:rsidR="00A1570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5-11.</w:t>
            </w:r>
            <w:r w:rsidR="00A15700">
              <w:rPr>
                <w:rFonts w:ascii="Verdana" w:hAnsi="Verdana"/>
                <w:b/>
                <w:sz w:val="20"/>
                <w:szCs w:val="20"/>
              </w:rPr>
              <w:t>00</w:t>
            </w:r>
          </w:p>
        </w:tc>
        <w:tc>
          <w:tcPr>
            <w:tcW w:w="7560" w:type="dxa"/>
            <w:vAlign w:val="center"/>
          </w:tcPr>
          <w:p w:rsidR="00D3007E" w:rsidRDefault="00D3007E" w:rsidP="004F4D6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3007E">
              <w:rPr>
                <w:rFonts w:ascii="Verdana" w:hAnsi="Verdana"/>
                <w:sz w:val="20"/>
                <w:szCs w:val="20"/>
              </w:rPr>
              <w:t>NSA’s perspectives on XBRL, preparing for XBRL, lessons learnt, Q&amp;A</w:t>
            </w:r>
          </w:p>
          <w:p w:rsidR="00D3007E" w:rsidRPr="004F4D6F" w:rsidRDefault="00D3007E" w:rsidP="0098153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4F4D6F">
              <w:rPr>
                <w:rFonts w:ascii="Verdana" w:hAnsi="Verdana"/>
                <w:b/>
                <w:sz w:val="20"/>
                <w:szCs w:val="20"/>
              </w:rPr>
              <w:t>Victor Morilla – Bank of Spain</w:t>
            </w:r>
          </w:p>
        </w:tc>
      </w:tr>
      <w:tr w:rsidR="00C8718A" w:rsidRPr="008070EF" w:rsidTr="004F4D6F">
        <w:trPr>
          <w:trHeight w:val="443"/>
        </w:trPr>
        <w:tc>
          <w:tcPr>
            <w:tcW w:w="2088" w:type="dxa"/>
            <w:shd w:val="clear" w:color="auto" w:fill="E6E6E6"/>
            <w:vAlign w:val="center"/>
          </w:tcPr>
          <w:p w:rsidR="00C8718A" w:rsidRPr="008070EF" w:rsidRDefault="00C8718A" w:rsidP="004F4D6F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11.</w:t>
            </w:r>
            <w:r w:rsidR="00A15700">
              <w:rPr>
                <w:rFonts w:ascii="Verdana" w:hAnsi="Verdana"/>
                <w:b/>
                <w:sz w:val="20"/>
                <w:szCs w:val="20"/>
              </w:rPr>
              <w:t>00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-1</w:t>
            </w:r>
            <w:r w:rsidR="00A1570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A15700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C8718A" w:rsidRPr="008070EF" w:rsidRDefault="00C8718A" w:rsidP="004F4D6F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70EF">
              <w:rPr>
                <w:rFonts w:ascii="Verdana" w:hAnsi="Verdana"/>
                <w:b/>
                <w:sz w:val="20"/>
                <w:szCs w:val="20"/>
                <w:lang w:val="en-US"/>
              </w:rPr>
              <w:t>Coffee break</w:t>
            </w:r>
          </w:p>
        </w:tc>
      </w:tr>
      <w:tr w:rsidR="000F321E" w:rsidRPr="008070EF" w:rsidTr="004F4D6F">
        <w:trPr>
          <w:trHeight w:val="442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0F321E" w:rsidRDefault="000F321E" w:rsidP="004F4D6F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11.15-12.00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21E" w:rsidRPr="002151E0" w:rsidRDefault="000F321E" w:rsidP="004F4D6F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151E0">
              <w:rPr>
                <w:rFonts w:ascii="Verdana" w:hAnsi="Verdana"/>
                <w:sz w:val="20"/>
                <w:szCs w:val="20"/>
              </w:rPr>
              <w:t>Relationship between FINREP and IFRS taxonomy, IASB project on XBRL, timeline, Q&amp;A</w:t>
            </w:r>
          </w:p>
          <w:p w:rsidR="000F321E" w:rsidRPr="002151E0" w:rsidRDefault="000F321E" w:rsidP="004F4D6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Olivier Servais</w:t>
            </w:r>
            <w:r w:rsidR="006F2C5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, Tiernan Ketchum</w:t>
            </w:r>
            <w:r w:rsidRPr="002151E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IASB</w:t>
            </w:r>
          </w:p>
        </w:tc>
      </w:tr>
      <w:tr w:rsidR="00C8718A" w:rsidRPr="008070EF" w:rsidTr="004F4D6F">
        <w:trPr>
          <w:trHeight w:val="442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8718A" w:rsidRPr="008070EF" w:rsidRDefault="00C8718A" w:rsidP="004F4D6F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634A3F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634A3F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0-1</w:t>
            </w:r>
            <w:r w:rsidR="000F321E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4F4D6F">
              <w:rPr>
                <w:rFonts w:ascii="Verdana" w:hAnsi="Verdana"/>
                <w:b/>
                <w:sz w:val="20"/>
                <w:szCs w:val="20"/>
              </w:rPr>
              <w:t>45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18A" w:rsidRDefault="000F321E" w:rsidP="004F4D6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Insurance and Solvency II approach in XBRL</w:t>
            </w:r>
          </w:p>
          <w:p w:rsidR="000F321E" w:rsidRPr="004F4D6F" w:rsidRDefault="006F2C5B" w:rsidP="0098153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Pierre-Jean Vouette, </w:t>
            </w:r>
            <w:r w:rsidR="0098153B">
              <w:rPr>
                <w:rFonts w:ascii="Verdana" w:hAnsi="Verdana"/>
                <w:b/>
                <w:sz w:val="20"/>
                <w:szCs w:val="20"/>
              </w:rPr>
              <w:t xml:space="preserve">Aitor Azocaga </w:t>
            </w:r>
            <w:r w:rsidR="007A5E0F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0F321E" w:rsidRPr="004F4D6F">
              <w:rPr>
                <w:rFonts w:ascii="Verdana" w:hAnsi="Verdana"/>
                <w:b/>
                <w:sz w:val="20"/>
                <w:szCs w:val="20"/>
              </w:rPr>
              <w:t>EIOPA</w:t>
            </w:r>
          </w:p>
        </w:tc>
      </w:tr>
      <w:tr w:rsidR="00293078" w:rsidRPr="008070EF" w:rsidTr="004F4D6F">
        <w:trPr>
          <w:trHeight w:val="443"/>
        </w:trPr>
        <w:tc>
          <w:tcPr>
            <w:tcW w:w="2088" w:type="dxa"/>
            <w:shd w:val="clear" w:color="auto" w:fill="E6E6E6"/>
            <w:vAlign w:val="center"/>
          </w:tcPr>
          <w:p w:rsidR="00293078" w:rsidRPr="008070EF" w:rsidRDefault="004F4D6F" w:rsidP="00EA09CD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C23EA0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293078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A09CD">
              <w:rPr>
                <w:rFonts w:ascii="Verdana" w:hAnsi="Verdana"/>
                <w:b/>
                <w:sz w:val="20"/>
                <w:szCs w:val="20"/>
              </w:rPr>
              <w:t>55</w:t>
            </w:r>
            <w:r w:rsidR="00293078" w:rsidRPr="008070EF">
              <w:rPr>
                <w:rFonts w:ascii="Verdana" w:hAnsi="Verdana"/>
                <w:b/>
                <w:sz w:val="20"/>
                <w:szCs w:val="20"/>
              </w:rPr>
              <w:t>-1</w:t>
            </w:r>
            <w:r w:rsidR="00293078">
              <w:rPr>
                <w:rFonts w:ascii="Verdana" w:hAnsi="Verdana"/>
                <w:b/>
                <w:sz w:val="20"/>
                <w:szCs w:val="20"/>
              </w:rPr>
              <w:t>4.0</w:t>
            </w:r>
            <w:r w:rsidR="00293078" w:rsidRPr="008070EF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293078" w:rsidRPr="008070EF" w:rsidRDefault="00293078" w:rsidP="004F4D6F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Lunch</w:t>
            </w:r>
          </w:p>
        </w:tc>
      </w:tr>
      <w:tr w:rsidR="00C8718A" w:rsidRPr="008070EF" w:rsidTr="004F4D6F">
        <w:trPr>
          <w:trHeight w:val="442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8718A" w:rsidRDefault="00C8718A" w:rsidP="004F4D6F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293078">
              <w:rPr>
                <w:rFonts w:ascii="Verdana" w:hAnsi="Verdana"/>
                <w:b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293078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0-1</w:t>
            </w:r>
            <w:r w:rsidR="00293078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293078">
              <w:rPr>
                <w:rFonts w:ascii="Verdana" w:hAnsi="Verdana"/>
                <w:b/>
                <w:sz w:val="20"/>
                <w:szCs w:val="20"/>
              </w:rPr>
              <w:t>00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18A" w:rsidRDefault="00293078" w:rsidP="004F4D6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93078">
              <w:rPr>
                <w:rFonts w:ascii="Verdana" w:hAnsi="Verdana"/>
                <w:sz w:val="20"/>
                <w:szCs w:val="20"/>
              </w:rPr>
              <w:t>Update on XBRL, experience so far with FINREP/COREP and lessons learnt, Q&amp;A</w:t>
            </w:r>
          </w:p>
          <w:p w:rsidR="00293078" w:rsidRPr="004F4D6F" w:rsidRDefault="0098153B" w:rsidP="0098153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Emile Bartolé</w:t>
            </w:r>
            <w:r w:rsidR="00293078" w:rsidRPr="004F4D6F">
              <w:rPr>
                <w:rFonts w:ascii="Verdana" w:hAnsi="Verdana"/>
                <w:b/>
                <w:sz w:val="20"/>
                <w:szCs w:val="20"/>
              </w:rPr>
              <w:t xml:space="preserve"> – CSSF </w:t>
            </w:r>
          </w:p>
        </w:tc>
      </w:tr>
      <w:tr w:rsidR="004F4D6F" w:rsidRPr="008070EF" w:rsidTr="004F4D6F">
        <w:trPr>
          <w:trHeight w:val="442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F4D6F" w:rsidRPr="008070EF" w:rsidRDefault="004F4D6F" w:rsidP="00285FEE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70EF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00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-15.</w:t>
            </w:r>
            <w:r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F4D6F" w:rsidRPr="008070EF" w:rsidRDefault="004F4D6F" w:rsidP="00285FEE">
            <w:pPr>
              <w:tabs>
                <w:tab w:val="left" w:pos="1620"/>
              </w:tabs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70EF">
              <w:rPr>
                <w:rFonts w:ascii="Verdana" w:hAnsi="Verdana"/>
                <w:b/>
                <w:sz w:val="20"/>
                <w:szCs w:val="20"/>
                <w:lang w:val="en-US"/>
              </w:rPr>
              <w:t>Coffee break</w:t>
            </w:r>
          </w:p>
        </w:tc>
      </w:tr>
      <w:tr w:rsidR="004F4D6F" w:rsidRPr="008070EF" w:rsidTr="004F4D6F">
        <w:trPr>
          <w:trHeight w:val="442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F4D6F" w:rsidRPr="008070EF" w:rsidRDefault="004F4D6F" w:rsidP="00285FEE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15.30-16</w:t>
            </w:r>
            <w:r w:rsidRPr="008070EF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D6F" w:rsidRDefault="004F4D6F" w:rsidP="004F4D6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56103">
              <w:rPr>
                <w:rFonts w:ascii="Verdana" w:hAnsi="Verdana"/>
                <w:sz w:val="20"/>
                <w:szCs w:val="20"/>
              </w:rPr>
              <w:t xml:space="preserve">Another NSA’s perspectives on XBRL, advantages of using XBRL reporting, Q&amp;A </w:t>
            </w:r>
          </w:p>
          <w:p w:rsidR="004F4D6F" w:rsidRPr="00B56103" w:rsidRDefault="0098153B" w:rsidP="004B7BC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Ayan Kar</w:t>
            </w:r>
            <w:r w:rsidR="004F4D6F" w:rsidRPr="004F4D6F">
              <w:rPr>
                <w:rFonts w:ascii="Verdana" w:hAnsi="Verdana"/>
                <w:b/>
                <w:sz w:val="20"/>
                <w:szCs w:val="20"/>
              </w:rPr>
              <w:t xml:space="preserve"> - UK FSA </w:t>
            </w:r>
            <w:r w:rsidR="004F4D6F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4F4D6F" w:rsidRPr="004F4D6F">
              <w:rPr>
                <w:rFonts w:ascii="Verdana" w:hAnsi="Verdana"/>
                <w:b/>
                <w:sz w:val="20"/>
                <w:szCs w:val="20"/>
              </w:rPr>
              <w:t>TBC</w:t>
            </w:r>
            <w:r w:rsidR="004F4D6F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4F4D6F" w:rsidRPr="008070EF" w:rsidTr="004F4D6F">
        <w:tc>
          <w:tcPr>
            <w:tcW w:w="2088" w:type="dxa"/>
            <w:shd w:val="clear" w:color="auto" w:fill="E6E6E6"/>
            <w:vAlign w:val="center"/>
          </w:tcPr>
          <w:p w:rsidR="004F4D6F" w:rsidRDefault="004F4D6F" w:rsidP="00285FEE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16:30-16:45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4F4D6F" w:rsidRDefault="004F4D6F" w:rsidP="004F4D6F">
            <w:pPr>
              <w:tabs>
                <w:tab w:val="left" w:pos="1620"/>
              </w:tabs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Wrap up and conclusions</w:t>
            </w:r>
          </w:p>
          <w:p w:rsidR="004F4D6F" w:rsidRPr="008070EF" w:rsidRDefault="004F4D6F" w:rsidP="004F4D6F">
            <w:pPr>
              <w:spacing w:before="120"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92BCE">
              <w:rPr>
                <w:rFonts w:ascii="Verdana" w:hAnsi="Verdana"/>
                <w:b/>
                <w:sz w:val="20"/>
                <w:szCs w:val="20"/>
                <w:lang w:val="en-US"/>
              </w:rPr>
              <w:t>Shamim Diouman - EBA</w:t>
            </w:r>
          </w:p>
        </w:tc>
      </w:tr>
    </w:tbl>
    <w:p w:rsidR="00C8718A" w:rsidRDefault="00C8718A" w:rsidP="00C8718A">
      <w:pPr>
        <w:pStyle w:val="Prrafodelista"/>
        <w:ind w:left="0"/>
        <w:jc w:val="both"/>
        <w:rPr>
          <w:rFonts w:ascii="Verdana" w:hAnsi="Verdana"/>
          <w:b/>
          <w:sz w:val="24"/>
          <w:lang w:eastAsia="fi-FI"/>
        </w:rPr>
      </w:pPr>
    </w:p>
    <w:p w:rsidR="00C8718A" w:rsidRDefault="00C8718A" w:rsidP="00C8718A">
      <w:pPr>
        <w:pStyle w:val="Prrafodelista"/>
        <w:ind w:left="0"/>
        <w:jc w:val="both"/>
        <w:rPr>
          <w:rFonts w:ascii="Verdana" w:hAnsi="Verdana"/>
          <w:b/>
          <w:sz w:val="24"/>
          <w:lang w:eastAsia="fi-FI"/>
        </w:rPr>
      </w:pPr>
    </w:p>
    <w:p w:rsidR="009A2A2A" w:rsidRPr="00C8718A" w:rsidRDefault="009A2A2A" w:rsidP="00C8718A"/>
    <w:sectPr w:rsidR="009A2A2A" w:rsidRPr="00C8718A" w:rsidSect="0050620E">
      <w:headerReference w:type="default" r:id="rId15"/>
      <w:footerReference w:type="default" r:id="rId16"/>
      <w:headerReference w:type="first" r:id="rId17"/>
      <w:footerReference w:type="first" r:id="rId18"/>
      <w:pgSz w:w="11909" w:h="16834" w:code="9"/>
      <w:pgMar w:top="2086" w:right="1582" w:bottom="1440" w:left="1134" w:header="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5F" w:rsidRDefault="00BF165F">
      <w:r>
        <w:separator/>
      </w:r>
    </w:p>
  </w:endnote>
  <w:endnote w:type="continuationSeparator" w:id="0">
    <w:p w:rsidR="00BF165F" w:rsidRDefault="00BF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0E" w:rsidRDefault="00C741FF">
    <w:pPr>
      <w:pStyle w:val="Piedepgina"/>
      <w:jc w:val="right"/>
    </w:pPr>
    <w:fldSimple w:instr=" PAGE   \* MERGEFORMAT ">
      <w:r w:rsidR="003D25D6">
        <w:rPr>
          <w:noProof/>
        </w:rPr>
        <w:t>1</w:t>
      </w:r>
    </w:fldSimple>
  </w:p>
  <w:p w:rsidR="0050620E" w:rsidRDefault="0050620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0B" w:rsidRDefault="00C741FF" w:rsidP="009A2A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030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620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030B" w:rsidRDefault="00C741FF" w:rsidP="009A2A2A">
    <w:pPr>
      <w:pStyle w:val="Piedepgina"/>
      <w:ind w:right="360"/>
      <w:jc w:val="right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.35pt;margin-top:-7.2pt;width:108pt;height:27pt;z-index:251657728" filled="f" stroked="f">
          <v:fill o:detectmouseclick="t"/>
          <v:textbox style="mso-next-textbox:#_x0000_s2051" inset=",7.2pt,,7.2pt">
            <w:txbxContent>
              <w:p w:rsidR="009A030B" w:rsidRPr="003A1207" w:rsidRDefault="009A030B">
                <w:pPr>
                  <w:rPr>
                    <w:sz w:val="18"/>
                  </w:rPr>
                </w:pPr>
                <w:r w:rsidRPr="003A1207">
                  <w:rPr>
                    <w:sz w:val="18"/>
                  </w:rPr>
                  <w:t>© 2011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5F" w:rsidRDefault="00BF165F">
      <w:r>
        <w:separator/>
      </w:r>
    </w:p>
  </w:footnote>
  <w:footnote w:type="continuationSeparator" w:id="0">
    <w:p w:rsidR="00BF165F" w:rsidRDefault="00BF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0E" w:rsidRDefault="00840B2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385445</wp:posOffset>
          </wp:positionH>
          <wp:positionV relativeFrom="paragraph">
            <wp:posOffset>574040</wp:posOffset>
          </wp:positionV>
          <wp:extent cx="5829300" cy="571500"/>
          <wp:effectExtent l="19050" t="0" r="0" b="0"/>
          <wp:wrapTight wrapText="bothSides">
            <wp:wrapPolygon edited="0">
              <wp:start x="-71" y="0"/>
              <wp:lineTo x="-71" y="21600"/>
              <wp:lineTo x="21600" y="21600"/>
              <wp:lineTo x="21600" y="0"/>
              <wp:lineTo x="-71" y="0"/>
            </wp:wrapPolygon>
          </wp:wrapTight>
          <wp:docPr id="16" name="Picture 16" descr="EBA_worddoc_heading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BA_worddoc_heading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0B" w:rsidRDefault="009A030B" w:rsidP="009A2A2A">
    <w:pPr>
      <w:pStyle w:val="Encabezado"/>
      <w:ind w:hanging="1134"/>
    </w:pPr>
  </w:p>
  <w:p w:rsidR="009A030B" w:rsidRDefault="00840B20" w:rsidP="009A2A2A">
    <w:pPr>
      <w:pStyle w:val="Encabezado"/>
      <w:ind w:hanging="1134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233045</wp:posOffset>
          </wp:positionH>
          <wp:positionV relativeFrom="paragraph">
            <wp:posOffset>260985</wp:posOffset>
          </wp:positionV>
          <wp:extent cx="5829300" cy="571500"/>
          <wp:effectExtent l="19050" t="0" r="0" b="0"/>
          <wp:wrapTight wrapText="bothSides">
            <wp:wrapPolygon edited="0">
              <wp:start x="-71" y="0"/>
              <wp:lineTo x="-71" y="21600"/>
              <wp:lineTo x="21600" y="21600"/>
              <wp:lineTo x="21600" y="0"/>
              <wp:lineTo x="-71" y="0"/>
            </wp:wrapPolygon>
          </wp:wrapTight>
          <wp:docPr id="13" name="Picture 13" descr="EBA_worddoc_heading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BA_worddoc_heading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41FF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3.85pt;margin-top:78.15pt;width:88.9pt;height:23.4pt;z-index:251656704;mso-position-horizontal-relative:text;mso-position-vertical-relative:text" filled="f" stroked="f">
          <v:fill o:detectmouseclick="t"/>
          <v:textbox style="mso-next-textbox:#_x0000_s2050" inset=",7.2pt,,7.2pt">
            <w:txbxContent>
              <w:p w:rsidR="009A030B" w:rsidRPr="003A1207" w:rsidRDefault="009A030B">
                <w:pPr>
                  <w:rPr>
                    <w:b/>
                    <w:sz w:val="18"/>
                  </w:rPr>
                </w:pPr>
              </w:p>
            </w:txbxContent>
          </v:textbox>
        </v:shape>
      </w:pict>
    </w:r>
    <w:r w:rsidR="00C741FF">
      <w:rPr>
        <w:noProof/>
        <w:lang w:val="en-US" w:eastAsia="en-US"/>
      </w:rPr>
      <w:pict>
        <v:line id="_x0000_s2049" style="position:absolute;z-index:251655680;mso-position-horizontal-relative:text;mso-position-vertical-relative:text" from="19.35pt,76.05pt" to="478.35pt,76.05pt" strokecolor="#a5a5a5" strokeweight="1pt">
          <v:fill o:detectmouseclick="t"/>
          <v:shadow opacity="22938f" offset="0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F0E"/>
    <w:multiLevelType w:val="hybridMultilevel"/>
    <w:tmpl w:val="9AF08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41E36"/>
    <w:multiLevelType w:val="multilevel"/>
    <w:tmpl w:val="72AA581E"/>
    <w:lvl w:ilvl="0">
      <w:start w:val="1"/>
      <w:numFmt w:val="decimal"/>
      <w:lvlText w:val="%1"/>
      <w:lvlJc w:val="left"/>
      <w:pPr>
        <w:tabs>
          <w:tab w:val="num" w:pos="284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742E91"/>
    <w:multiLevelType w:val="hybridMultilevel"/>
    <w:tmpl w:val="40BE3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43322"/>
    <w:multiLevelType w:val="hybridMultilevel"/>
    <w:tmpl w:val="A6BABC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35143"/>
    <w:multiLevelType w:val="multilevel"/>
    <w:tmpl w:val="5BF064F0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7E743B"/>
    <w:multiLevelType w:val="multilevel"/>
    <w:tmpl w:val="A6E2D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B470EC"/>
    <w:multiLevelType w:val="hybridMultilevel"/>
    <w:tmpl w:val="510EEA0A"/>
    <w:lvl w:ilvl="0" w:tplc="BDAE5DA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stylePaneSortMethod w:val="00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F58"/>
    <w:rsid w:val="00060D71"/>
    <w:rsid w:val="00067694"/>
    <w:rsid w:val="000B66A4"/>
    <w:rsid w:val="000C35AD"/>
    <w:rsid w:val="000D3843"/>
    <w:rsid w:val="000F321E"/>
    <w:rsid w:val="00116A29"/>
    <w:rsid w:val="00135BD8"/>
    <w:rsid w:val="001409D9"/>
    <w:rsid w:val="001943EA"/>
    <w:rsid w:val="0019781F"/>
    <w:rsid w:val="001B1EE2"/>
    <w:rsid w:val="001B20FE"/>
    <w:rsid w:val="001B4C24"/>
    <w:rsid w:val="001C1314"/>
    <w:rsid w:val="001C2B79"/>
    <w:rsid w:val="001C5A26"/>
    <w:rsid w:val="001E7F1F"/>
    <w:rsid w:val="00206DC7"/>
    <w:rsid w:val="00207BFF"/>
    <w:rsid w:val="002151E0"/>
    <w:rsid w:val="00222639"/>
    <w:rsid w:val="00241E01"/>
    <w:rsid w:val="00280C3D"/>
    <w:rsid w:val="00293078"/>
    <w:rsid w:val="002B6A5C"/>
    <w:rsid w:val="002E1763"/>
    <w:rsid w:val="002E5F58"/>
    <w:rsid w:val="003040BF"/>
    <w:rsid w:val="003042F2"/>
    <w:rsid w:val="003207D9"/>
    <w:rsid w:val="00327690"/>
    <w:rsid w:val="00344597"/>
    <w:rsid w:val="0037496F"/>
    <w:rsid w:val="003849CE"/>
    <w:rsid w:val="003D25D6"/>
    <w:rsid w:val="00421512"/>
    <w:rsid w:val="00454012"/>
    <w:rsid w:val="004712C6"/>
    <w:rsid w:val="004735C3"/>
    <w:rsid w:val="00482E49"/>
    <w:rsid w:val="004B6087"/>
    <w:rsid w:val="004B7BC7"/>
    <w:rsid w:val="004C5435"/>
    <w:rsid w:val="004D1351"/>
    <w:rsid w:val="004F4D6F"/>
    <w:rsid w:val="004F6577"/>
    <w:rsid w:val="0050620E"/>
    <w:rsid w:val="0052162F"/>
    <w:rsid w:val="0054168B"/>
    <w:rsid w:val="005762B6"/>
    <w:rsid w:val="005E2748"/>
    <w:rsid w:val="005F39C7"/>
    <w:rsid w:val="006017D3"/>
    <w:rsid w:val="0061510F"/>
    <w:rsid w:val="00634A3F"/>
    <w:rsid w:val="006424DA"/>
    <w:rsid w:val="00654CAB"/>
    <w:rsid w:val="00657B5F"/>
    <w:rsid w:val="00674BD3"/>
    <w:rsid w:val="00692C36"/>
    <w:rsid w:val="006B0CD8"/>
    <w:rsid w:val="006C7E32"/>
    <w:rsid w:val="006F2C5B"/>
    <w:rsid w:val="006F6FC7"/>
    <w:rsid w:val="00710BF0"/>
    <w:rsid w:val="0072028E"/>
    <w:rsid w:val="00726819"/>
    <w:rsid w:val="00765803"/>
    <w:rsid w:val="00786CDF"/>
    <w:rsid w:val="007A5E0F"/>
    <w:rsid w:val="007E2A29"/>
    <w:rsid w:val="007E570F"/>
    <w:rsid w:val="007E70DA"/>
    <w:rsid w:val="00840B20"/>
    <w:rsid w:val="008633C4"/>
    <w:rsid w:val="008C49A0"/>
    <w:rsid w:val="008D1DFE"/>
    <w:rsid w:val="00912B1E"/>
    <w:rsid w:val="00917C26"/>
    <w:rsid w:val="009225D9"/>
    <w:rsid w:val="00930EA0"/>
    <w:rsid w:val="00930ED5"/>
    <w:rsid w:val="00975648"/>
    <w:rsid w:val="0097595F"/>
    <w:rsid w:val="00975EB9"/>
    <w:rsid w:val="0098153B"/>
    <w:rsid w:val="00992BCE"/>
    <w:rsid w:val="009A030B"/>
    <w:rsid w:val="009A03FC"/>
    <w:rsid w:val="009A2A2A"/>
    <w:rsid w:val="009B37CB"/>
    <w:rsid w:val="009B7332"/>
    <w:rsid w:val="00A15700"/>
    <w:rsid w:val="00A20488"/>
    <w:rsid w:val="00A525C4"/>
    <w:rsid w:val="00A52AA7"/>
    <w:rsid w:val="00A85FF5"/>
    <w:rsid w:val="00AA314F"/>
    <w:rsid w:val="00B362D8"/>
    <w:rsid w:val="00B474EE"/>
    <w:rsid w:val="00B56103"/>
    <w:rsid w:val="00B96CDB"/>
    <w:rsid w:val="00BA0D8D"/>
    <w:rsid w:val="00BE7F1D"/>
    <w:rsid w:val="00BF165F"/>
    <w:rsid w:val="00BF234C"/>
    <w:rsid w:val="00C11037"/>
    <w:rsid w:val="00C23EA0"/>
    <w:rsid w:val="00C244EA"/>
    <w:rsid w:val="00C741FF"/>
    <w:rsid w:val="00C8718A"/>
    <w:rsid w:val="00C97152"/>
    <w:rsid w:val="00CE4B18"/>
    <w:rsid w:val="00D3007E"/>
    <w:rsid w:val="00D55549"/>
    <w:rsid w:val="00D70B00"/>
    <w:rsid w:val="00D84B05"/>
    <w:rsid w:val="00D86D37"/>
    <w:rsid w:val="00DB0A73"/>
    <w:rsid w:val="00E6767F"/>
    <w:rsid w:val="00E87116"/>
    <w:rsid w:val="00EA09CD"/>
    <w:rsid w:val="00EE0775"/>
    <w:rsid w:val="00EF3F84"/>
    <w:rsid w:val="00F03906"/>
    <w:rsid w:val="00F05DA7"/>
    <w:rsid w:val="00F71D9C"/>
    <w:rsid w:val="00F927C6"/>
    <w:rsid w:val="00F969DF"/>
    <w:rsid w:val="00FB125B"/>
    <w:rsid w:val="00FC4642"/>
    <w:rsid w:val="00FC6B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30ED5"/>
    <w:rPr>
      <w:rFonts w:ascii="Arial" w:eastAsia="Calibri" w:hAnsi="Arial"/>
      <w:sz w:val="22"/>
      <w:szCs w:val="22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273C7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7273C7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7273C7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rsid w:val="00477F4E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semiHidden/>
    <w:rsid w:val="002E5F5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44258F"/>
  </w:style>
  <w:style w:type="paragraph" w:styleId="Prrafodelista">
    <w:name w:val="List Paragraph"/>
    <w:basedOn w:val="Normal"/>
    <w:uiPriority w:val="34"/>
    <w:qFormat/>
    <w:rsid w:val="00930ED5"/>
    <w:pPr>
      <w:ind w:left="1304"/>
    </w:pPr>
  </w:style>
  <w:style w:type="character" w:styleId="Hipervnculo">
    <w:name w:val="Hyperlink"/>
    <w:basedOn w:val="Fuentedeprrafopredeter"/>
    <w:rsid w:val="004F4D6F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620E"/>
    <w:rPr>
      <w:rFonts w:ascii="Arial" w:eastAsia="Calibri" w:hAnsi="Arial"/>
      <w:sz w:val="22"/>
      <w:szCs w:val="22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iling.info/?page_id=4" TargetMode="External"/><Relationship Id="rId13" Type="http://schemas.openxmlformats.org/officeDocument/2006/relationships/hyperlink" Target="http://www.openfiling.info/?page_id=6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filing.info/?page_id=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a.europa.eu/Supervisory-Culture/Training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penfiling.info/?page_id=3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filing.info/?page_id=67" TargetMode="External"/><Relationship Id="rId14" Type="http://schemas.openxmlformats.org/officeDocument/2006/relationships/hyperlink" Target="http://www.openfiling.info/?page_id=3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ABBC-8417-487C-8DAE-02C3BB19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CEBS Meeting Document template</vt:lpstr>
      <vt:lpstr>CEBS Meeting Document template</vt:lpstr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CEBS Meeting Document template</dc:title>
  <dc:creator>Alison Smith</dc:creator>
  <cp:lastModifiedBy>infboi</cp:lastModifiedBy>
  <cp:revision>11</cp:revision>
  <cp:lastPrinted>2011-10-05T10:31:00Z</cp:lastPrinted>
  <dcterms:created xsi:type="dcterms:W3CDTF">2012-02-23T12:01:00Z</dcterms:created>
  <dcterms:modified xsi:type="dcterms:W3CDTF">2012-05-17T17:39:00Z</dcterms:modified>
</cp:coreProperties>
</file>